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Rodap"/>
        <w:tabs>
          <w:tab w:val="clear" w:pos="4819"/>
          <w:tab w:val="clear" w:pos="9638"/>
          <w:tab w:val="left" w:pos="3400" w:leader="none"/>
          <w:tab w:val="center" w:pos="4252" w:leader="none"/>
          <w:tab w:val="right" w:pos="8504" w:leader="none"/>
        </w:tabs>
        <w:bidi w:val="0"/>
        <w:jc w:val="center"/>
        <w:rPr/>
      </w:pPr>
      <w:r>
        <w:rPr>
          <w:rFonts w:cs="Arial" w:ascii="Calibri" w:hAnsi="Calibri"/>
          <w:b/>
          <w:bCs/>
          <w:color w:val="000000"/>
          <w:sz w:val="20"/>
          <w:szCs w:val="20"/>
          <w:lang w:eastAsia="en-US"/>
        </w:rPr>
        <w:t>AVISO DE DISPENSA ELETRÔNIC</w:t>
      </w:r>
      <w:r>
        <w:rPr>
          <w:rFonts w:cs="Arial" w:ascii="Calibri" w:hAnsi="Calibri"/>
          <w:b/>
          <w:bCs/>
          <w:color w:val="000000"/>
          <w:sz w:val="20"/>
          <w:szCs w:val="20"/>
          <w:shd w:fill="auto" w:val="clear"/>
          <w:lang w:eastAsia="en-US"/>
        </w:rPr>
        <w:t>A Nº</w:t>
      </w:r>
      <w:r>
        <w:rPr>
          <w:rFonts w:cs="Arial" w:ascii="Calibri" w:hAnsi="Calibri"/>
          <w:b/>
          <w:bCs/>
          <w:color w:val="000000"/>
          <w:sz w:val="20"/>
          <w:szCs w:val="20"/>
          <w:shd w:fill="auto" w:val="clear"/>
          <w:lang w:eastAsia="en-US"/>
        </w:rPr>
        <w:t xml:space="preserve"> </w:t>
      </w:r>
      <w:r>
        <w:rPr>
          <w:rFonts w:eastAsia="Times New Roman" w:cs="Arial" w:ascii="Calibri" w:hAnsi="Calibri"/>
          <w:b/>
          <w:bCs/>
          <w:color w:val="000000"/>
          <w:kern w:val="0"/>
          <w:sz w:val="20"/>
          <w:szCs w:val="20"/>
          <w:shd w:fill="auto" w:val="clear"/>
          <w:lang w:val="pt-BR" w:eastAsia="pt-BR" w:bidi="ar-SA"/>
        </w:rPr>
        <w:t>20/2022</w:t>
      </w:r>
    </w:p>
    <w:p>
      <w:pPr>
        <w:pStyle w:val="Rodap"/>
        <w:tabs>
          <w:tab w:val="clear" w:pos="4819"/>
          <w:tab w:val="clear" w:pos="9638"/>
          <w:tab w:val="left" w:pos="3400" w:leader="none"/>
          <w:tab w:val="center" w:pos="4252" w:leader="none"/>
          <w:tab w:val="right" w:pos="8504" w:leader="none"/>
        </w:tabs>
        <w:bidi w:val="0"/>
        <w:jc w:val="center"/>
        <w:rPr>
          <w:rFonts w:ascii="Calibri" w:hAnsi="Calibri" w:cs="Arial"/>
          <w:b/>
          <w:b/>
          <w:bCs/>
          <w:color w:val="000000"/>
          <w:sz w:val="20"/>
          <w:szCs w:val="20"/>
          <w:lang w:eastAsia="en-US"/>
        </w:rPr>
      </w:pPr>
      <w:r>
        <w:rPr>
          <w:rFonts w:cs="Arial" w:ascii="Calibri" w:hAnsi="Calibri"/>
          <w:b/>
          <w:bCs/>
          <w:color w:val="000000"/>
          <w:sz w:val="20"/>
          <w:szCs w:val="20"/>
          <w:lang w:eastAsia="en-US"/>
        </w:rPr>
      </w:r>
    </w:p>
    <w:p>
      <w:pPr>
        <w:pStyle w:val="Rodap"/>
        <w:widowControl/>
        <w:shd w:val="clear" w:fill="FFFFFF"/>
        <w:tabs>
          <w:tab w:val="clear" w:pos="4819"/>
          <w:tab w:val="clear" w:pos="9638"/>
          <w:tab w:val="left" w:pos="3400" w:leader="none"/>
          <w:tab w:val="center" w:pos="4252" w:leader="none"/>
          <w:tab w:val="right" w:pos="8504" w:leader="none"/>
        </w:tabs>
        <w:bidi w:val="0"/>
        <w:spacing w:lineRule="auto" w:line="276" w:before="120" w:after="120"/>
        <w:ind w:left="0" w:right="0" w:hanging="0"/>
        <w:jc w:val="center"/>
        <w:rPr/>
      </w:pPr>
      <w:r>
        <w:rPr>
          <w:rStyle w:val="LinkdaInternet"/>
          <w:rFonts w:cs="Arial" w:ascii="Calibri" w:hAnsi="Calibri"/>
          <w:b w:val="false"/>
          <w:bCs w:val="false"/>
          <w:i w:val="false"/>
          <w:iCs w:val="false"/>
          <w:color w:val="000000"/>
          <w:sz w:val="20"/>
          <w:szCs w:val="20"/>
          <w:lang w:eastAsia="en-US"/>
        </w:rPr>
        <w:t>Processo Administrativo n.°</w:t>
      </w:r>
      <w:r>
        <w:rPr>
          <w:rStyle w:val="LinkdaInternet"/>
          <w:rFonts w:eastAsia="Times New Roman" w:cs="Arial" w:ascii="Calibri" w:hAnsi="Calibri"/>
          <w:b w:val="false"/>
          <w:bCs w:val="false"/>
          <w:i w:val="false"/>
          <w:iCs w:val="false"/>
          <w:caps w:val="false"/>
          <w:smallCaps w:val="false"/>
          <w:color w:val="000000"/>
          <w:spacing w:val="0"/>
          <w:kern w:val="0"/>
          <w:sz w:val="20"/>
          <w:szCs w:val="20"/>
          <w:lang w:val="pt-BR" w:eastAsia="pt-BR" w:bidi="ar-SA"/>
        </w:rPr>
        <w:t xml:space="preserve">  </w:t>
      </w:r>
      <w:hyperlink r:id="rId2">
        <w:r>
          <w:rPr>
            <w:rStyle w:val="LinkdaInternet"/>
            <w:rFonts w:eastAsia="Times New Roman" w:cs="Arial" w:ascii="Calibri" w:hAnsi="Calibri"/>
            <w:b w:val="false"/>
            <w:bCs w:val="false"/>
            <w:i w:val="false"/>
            <w:iCs w:val="false"/>
            <w:caps w:val="false"/>
            <w:smallCaps w:val="false"/>
            <w:color w:val="2A6099"/>
            <w:spacing w:val="0"/>
            <w:kern w:val="0"/>
            <w:sz w:val="20"/>
            <w:szCs w:val="20"/>
            <w:lang w:val="pt-BR" w:eastAsia="pt-BR" w:bidi="ar-SA"/>
          </w:rPr>
          <w:t>23186.001030/2022-2</w:t>
        </w:r>
      </w:hyperlink>
      <w:r>
        <w:rPr>
          <w:rFonts w:eastAsia="Times New Roman" w:cs="Arial" w:ascii="Calibri" w:hAnsi="Calibri"/>
          <w:b w:val="false"/>
          <w:bCs w:val="false"/>
          <w:i w:val="false"/>
          <w:iCs w:val="false"/>
          <w:caps w:val="false"/>
          <w:smallCaps w:val="false"/>
          <w:color w:val="2A6099"/>
          <w:spacing w:val="0"/>
          <w:kern w:val="0"/>
          <w:sz w:val="20"/>
          <w:szCs w:val="20"/>
          <w:shd w:fill="auto" w:val="clear"/>
          <w:lang w:val="pt-BR" w:eastAsia="pt-BR" w:bidi="ar-SA"/>
        </w:rPr>
        <w:t>1</w:t>
      </w:r>
    </w:p>
    <w:p>
      <w:pPr>
        <w:pStyle w:val="Normal"/>
        <w:widowControl/>
        <w:shd w:val="clear" w:fill="FFFFFF"/>
        <w:bidi w:val="0"/>
        <w:spacing w:lineRule="auto" w:line="276" w:before="120" w:after="120"/>
        <w:ind w:left="0" w:right="0" w:hanging="0"/>
        <w:jc w:val="center"/>
        <w:rPr/>
      </w:pPr>
      <w:r>
        <w:rPr>
          <w:rStyle w:val="LinkdaInternet"/>
          <w:rFonts w:cs="Arial" w:ascii="Calibri" w:hAnsi="Calibri"/>
          <w:b/>
          <w:bCs/>
          <w:i w:val="false"/>
          <w:iCs w:val="false"/>
          <w:color w:val="000000"/>
          <w:sz w:val="26"/>
          <w:szCs w:val="26"/>
        </w:rPr>
        <w:t>ANEXO III</w:t>
      </w:r>
    </w:p>
    <w:p>
      <w:pPr>
        <w:pStyle w:val="Normal"/>
        <w:widowControl/>
        <w:shd w:val="clear" w:fill="FFFFFF"/>
        <w:bidi w:val="0"/>
        <w:spacing w:lineRule="auto" w:line="276" w:before="120" w:after="120"/>
        <w:ind w:left="0" w:right="0" w:hanging="0"/>
        <w:jc w:val="center"/>
        <w:rPr/>
      </w:pPr>
      <w:r>
        <w:rPr>
          <w:rStyle w:val="LinkdaInternet"/>
          <w:rFonts w:cs="Arial" w:ascii="Calibri" w:hAnsi="Calibri"/>
          <w:b/>
          <w:bCs/>
          <w:i w:val="false"/>
          <w:iCs w:val="false"/>
          <w:color w:val="000000"/>
          <w:sz w:val="26"/>
          <w:szCs w:val="26"/>
          <w:u w:val="none"/>
        </w:rPr>
        <w:t xml:space="preserve">Modelo de carta proposta </w:t>
      </w:r>
    </w:p>
    <w:p>
      <w:pPr>
        <w:pStyle w:val="Normal"/>
        <w:widowControl/>
        <w:shd w:val="clear" w:fill="FFFFFF"/>
        <w:bidi w:val="0"/>
        <w:spacing w:lineRule="auto" w:line="276" w:before="120" w:after="120"/>
        <w:ind w:left="0" w:right="0" w:hanging="0"/>
        <w:jc w:val="center"/>
        <w:rPr/>
      </w:pPr>
      <w:r>
        <w:rPr>
          <w:rStyle w:val="LinkdaInternet"/>
          <w:rFonts w:cs="Arial" w:ascii="Calibri" w:hAnsi="Calibri"/>
          <w:i/>
          <w:iCs/>
          <w:color w:val="000000"/>
          <w:sz w:val="20"/>
          <w:szCs w:val="20"/>
        </w:rPr>
        <w:t xml:space="preserve">(a ser anexada ao sistema quando convocado  após a fase de lances/negociação. Caso não seja possível anexar ao sistema, poderá ser </w:t>
      </w:r>
      <w:r>
        <w:rPr>
          <w:rStyle w:val="LinkdaInternet"/>
          <w:rFonts w:eastAsia="Times New Roman" w:cs="Arial" w:ascii="Calibri" w:hAnsi="Calibri"/>
          <w:i/>
          <w:iCs/>
          <w:color w:val="000000"/>
          <w:kern w:val="0"/>
          <w:sz w:val="20"/>
          <w:szCs w:val="20"/>
          <w:lang w:val="pt-BR" w:eastAsia="pt-BR" w:bidi="ar-SA"/>
        </w:rPr>
        <w:t>enviada</w:t>
      </w:r>
      <w:r>
        <w:rPr>
          <w:rStyle w:val="LinkdaInternet"/>
          <w:rFonts w:cs="Arial" w:ascii="Calibri" w:hAnsi="Calibri"/>
          <w:i/>
          <w:iCs/>
          <w:color w:val="000000"/>
          <w:sz w:val="20"/>
          <w:szCs w:val="20"/>
        </w:rPr>
        <w:t xml:space="preserve"> para o e-mail </w:t>
      </w:r>
      <w:hyperlink r:id="rId3">
        <w:r>
          <w:rPr>
            <w:rStyle w:val="LinkdaInternet"/>
            <w:rFonts w:ascii="Calibri" w:hAnsi="Calibri"/>
            <w:sz w:val="20"/>
            <w:szCs w:val="20"/>
          </w:rPr>
          <w:t>clc.vni@ifes.edu.br</w:t>
        </w:r>
      </w:hyperlink>
      <w:r>
        <w:rPr>
          <w:rStyle w:val="LinkdaInternet"/>
          <w:rFonts w:cs="Arial" w:ascii="Calibri" w:hAnsi="Calibri"/>
          <w:i/>
          <w:iCs/>
          <w:color w:val="000000"/>
          <w:sz w:val="20"/>
          <w:szCs w:val="20"/>
        </w:rPr>
        <w:t>)</w:t>
      </w:r>
    </w:p>
    <w:p>
      <w:pPr>
        <w:pStyle w:val="Normal"/>
        <w:widowControl/>
        <w:shd w:val="clear" w:fill="FFFFFF"/>
        <w:bidi w:val="0"/>
        <w:spacing w:lineRule="auto" w:line="276" w:before="120" w:after="120"/>
        <w:ind w:left="0" w:right="0" w:hanging="0"/>
        <w:jc w:val="both"/>
        <w:rPr>
          <w:rFonts w:ascii="Calibri" w:hAnsi="Calibri"/>
          <w:sz w:val="20"/>
          <w:szCs w:val="20"/>
        </w:rPr>
      </w:pPr>
      <w:r>
        <w:rPr>
          <w:rFonts w:ascii="Calibri" w:hAnsi="Calibri"/>
          <w:sz w:val="20"/>
          <w:szCs w:val="20"/>
        </w:rPr>
      </w:r>
    </w:p>
    <w:p>
      <w:pPr>
        <w:pStyle w:val="P"/>
        <w:bidi w:val="0"/>
        <w:spacing w:before="0" w:after="240"/>
        <w:rPr>
          <w:rFonts w:ascii="Arial" w:hAnsi="Arial" w:cs="Calibri"/>
          <w:b w:val="false"/>
          <w:b w:val="false"/>
          <w:color w:val="000000"/>
          <w:sz w:val="20"/>
          <w:szCs w:val="20"/>
        </w:rPr>
      </w:pPr>
      <w:r>
        <w:rPr>
          <w:rFonts w:cs="Calibri" w:ascii="Calibri" w:hAnsi="Calibri"/>
          <w:b w:val="false"/>
          <w:color w:val="000000"/>
          <w:sz w:val="20"/>
          <w:szCs w:val="20"/>
        </w:rPr>
        <w:t>Ao Instituto Federal do Espirito Santo – Ifes</w:t>
      </w:r>
    </w:p>
    <w:p>
      <w:pPr>
        <w:pStyle w:val="Corpodotexto"/>
        <w:bidi w:val="0"/>
        <w:spacing w:before="0" w:after="240"/>
        <w:jc w:val="both"/>
        <w:rPr>
          <w:rFonts w:ascii="Arial" w:hAnsi="Arial" w:cs="Calibri"/>
          <w:color w:val="000000"/>
          <w:sz w:val="20"/>
          <w:szCs w:val="20"/>
        </w:rPr>
      </w:pPr>
      <w:r>
        <w:rPr>
          <w:rFonts w:cs="Calibri" w:ascii="Calibri" w:hAnsi="Calibri"/>
          <w:color w:val="000000"/>
          <w:sz w:val="20"/>
          <w:szCs w:val="20"/>
        </w:rPr>
        <w:tab/>
        <w:t>Prezados Senhores,</w:t>
      </w:r>
    </w:p>
    <w:p>
      <w:pPr>
        <w:pStyle w:val="Corpodotexto"/>
        <w:bidi w:val="0"/>
        <w:spacing w:before="0" w:after="240"/>
        <w:jc w:val="both"/>
        <w:rPr/>
      </w:pPr>
      <w:r>
        <w:rPr>
          <w:rFonts w:cs="Calibri" w:ascii="Calibri" w:hAnsi="Calibri"/>
          <w:color w:val="000000"/>
          <w:sz w:val="20"/>
          <w:szCs w:val="20"/>
        </w:rPr>
        <w:t>Apresentamos a V.Sª, nossa proposta</w:t>
      </w:r>
      <w:r>
        <w:rPr>
          <w:rFonts w:eastAsia="Times New Roman" w:cs="Calibri" w:ascii="Calibri" w:hAnsi="Calibri"/>
          <w:color w:val="000000"/>
          <w:kern w:val="0"/>
          <w:sz w:val="20"/>
          <w:szCs w:val="20"/>
          <w:lang w:val="pt-BR" w:eastAsia="pt-BR" w:bidi="ar-SA"/>
        </w:rPr>
        <w:t xml:space="preserve"> de preços para o </w:t>
      </w:r>
      <w:r>
        <w:rPr>
          <w:rFonts w:eastAsia="Times New Roman" w:cs="Calibri" w:ascii="Calibri" w:hAnsi="Calibri"/>
          <w:color w:val="000000"/>
          <w:kern w:val="0"/>
          <w:sz w:val="20"/>
          <w:szCs w:val="20"/>
          <w:shd w:fill="auto" w:val="clear"/>
          <w:lang w:val="pt-BR" w:eastAsia="pt-BR" w:bidi="ar-SA"/>
        </w:rPr>
        <w:t>fornecimento novos equipamentos para atender as aulas práticas, ações de extensão e pesquisas científicas, desenvolvidas por docentes, técnicos e discentes, nos diversos laboratórios do Ifes – Campus Venda Nova do Imigrante</w:t>
      </w:r>
      <w:r>
        <w:rPr>
          <w:rFonts w:eastAsia="Times New Roman" w:cs="Calibri" w:ascii="Calibri" w:hAnsi="Calibri"/>
          <w:i w:val="false"/>
          <w:iCs w:val="false"/>
          <w:color w:val="000000"/>
          <w:kern w:val="0"/>
          <w:sz w:val="20"/>
          <w:szCs w:val="20"/>
          <w:shd w:fill="auto" w:val="clear"/>
          <w:lang w:val="pt-BR" w:eastAsia="pt-BR" w:bidi="ar-SA"/>
        </w:rPr>
        <w:t xml:space="preserve">, conforme o(s) </w:t>
      </w:r>
      <w:r>
        <w:rPr>
          <w:rFonts w:eastAsia="Arial" w:cs="Calibri" w:ascii="Calibri" w:hAnsi="Calibri"/>
          <w:i w:val="false"/>
          <w:iCs w:val="false"/>
          <w:color w:val="1C1C1C"/>
          <w:sz w:val="20"/>
          <w:szCs w:val="20"/>
          <w:shd w:fill="auto" w:val="clear"/>
        </w:rPr>
        <w:t xml:space="preserve">item(s) </w:t>
      </w:r>
      <w:r>
        <w:rPr>
          <w:rFonts w:cs="Calibri" w:ascii="Calibri" w:hAnsi="Calibri"/>
          <w:color w:val="000000"/>
          <w:sz w:val="20"/>
          <w:szCs w:val="20"/>
        </w:rPr>
        <w:t>abaixo relacionado(s), nos termos do Edital e Anexos.</w:t>
      </w:r>
      <w:r>
        <w:br w:type="page"/>
      </w:r>
    </w:p>
    <w:tbl>
      <w:tblPr>
        <w:tblW w:w="9638" w:type="dxa"/>
        <w:jc w:val="left"/>
        <w:tblInd w:w="-5" w:type="dxa"/>
        <w:tblCellMar>
          <w:top w:w="0" w:type="dxa"/>
          <w:left w:w="70" w:type="dxa"/>
          <w:bottom w:w="0" w:type="dxa"/>
          <w:right w:w="70" w:type="dxa"/>
        </w:tblCellMar>
      </w:tblPr>
      <w:tblGrid>
        <w:gridCol w:w="738"/>
        <w:gridCol w:w="3461"/>
        <w:gridCol w:w="1191"/>
        <w:gridCol w:w="560"/>
        <w:gridCol w:w="1025"/>
        <w:gridCol w:w="1145"/>
        <w:gridCol w:w="1517"/>
      </w:tblGrid>
      <w:tr>
        <w:trPr>
          <w:trHeight w:val="930" w:hRule="atLeast"/>
          <w:cantSplit w:val="true"/>
        </w:trPr>
        <w:tc>
          <w:tcPr>
            <w:tcW w:w="738" w:type="dxa"/>
            <w:tcBorders>
              <w:top w:val="single" w:sz="4" w:space="0" w:color="000000"/>
              <w:left w:val="single" w:sz="4" w:space="0" w:color="000000"/>
              <w:bottom w:val="single" w:sz="4" w:space="0" w:color="000000"/>
            </w:tcBorders>
            <w:shd w:fill="auto" w:val="clear"/>
            <w:vAlign w:val="center"/>
          </w:tcPr>
          <w:p>
            <w:pPr>
              <w:pStyle w:val="Normal"/>
              <w:keepNext w:val="true"/>
              <w:pageBreakBefore/>
              <w:widowControl w:val="false"/>
              <w:bidi w:val="0"/>
              <w:snapToGrid w:val="false"/>
              <w:spacing w:before="0" w:after="0"/>
              <w:ind w:left="0" w:right="0" w:hanging="0"/>
              <w:jc w:val="center"/>
              <w:rPr>
                <w:rFonts w:ascii="Arial" w:hAnsi="Arial" w:cs="Calibri"/>
                <w:b/>
                <w:b/>
                <w:color w:val="000000"/>
                <w:sz w:val="18"/>
                <w:szCs w:val="18"/>
              </w:rPr>
            </w:pPr>
            <w:r>
              <w:rPr>
                <w:rFonts w:cs="Calibri" w:ascii="Calibri" w:hAnsi="Calibri"/>
                <w:b/>
                <w:color w:val="000000"/>
                <w:sz w:val="20"/>
                <w:szCs w:val="20"/>
              </w:rPr>
              <w:t>ITEM</w:t>
            </w:r>
          </w:p>
        </w:tc>
        <w:tc>
          <w:tcPr>
            <w:tcW w:w="3461" w:type="dxa"/>
            <w:tcBorders>
              <w:top w:val="single" w:sz="4" w:space="0" w:color="000000"/>
              <w:left w:val="single" w:sz="4" w:space="0" w:color="000000"/>
              <w:bottom w:val="single" w:sz="4" w:space="0" w:color="000000"/>
            </w:tcBorders>
            <w:shd w:fill="auto" w:val="clear"/>
            <w:vAlign w:val="center"/>
          </w:tcPr>
          <w:p>
            <w:pPr>
              <w:pStyle w:val="Normal"/>
              <w:widowControl w:val="false"/>
              <w:jc w:val="center"/>
              <w:rPr>
                <w:rFonts w:ascii="Calibri" w:hAnsi="Calibri"/>
                <w:sz w:val="20"/>
                <w:szCs w:val="20"/>
              </w:rPr>
            </w:pPr>
            <w:r>
              <w:rPr>
                <w:rFonts w:cs="Arial" w:ascii="Calibri" w:hAnsi="Calibri"/>
                <w:b/>
                <w:bCs/>
                <w:color w:val="000000"/>
                <w:sz w:val="20"/>
                <w:szCs w:val="20"/>
              </w:rPr>
              <w:t>DESCRIÇÃO</w:t>
            </w:r>
          </w:p>
        </w:tc>
        <w:tc>
          <w:tcPr>
            <w:tcW w:w="1191" w:type="dxa"/>
            <w:tcBorders>
              <w:top w:val="single" w:sz="4" w:space="0" w:color="000000"/>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center"/>
              <w:rPr>
                <w:rFonts w:ascii="Arial" w:hAnsi="Arial" w:cs="Calibri"/>
                <w:b/>
                <w:b/>
                <w:color w:val="000000"/>
                <w:sz w:val="18"/>
                <w:szCs w:val="18"/>
              </w:rPr>
            </w:pPr>
            <w:r>
              <w:rPr>
                <w:rFonts w:cs="Calibri" w:ascii="Calibri" w:hAnsi="Calibri"/>
                <w:b/>
                <w:color w:val="000000"/>
                <w:sz w:val="20"/>
                <w:szCs w:val="20"/>
              </w:rPr>
              <w:t>Unidade</w:t>
            </w:r>
          </w:p>
        </w:tc>
        <w:tc>
          <w:tcPr>
            <w:tcW w:w="560" w:type="dxa"/>
            <w:tcBorders>
              <w:top w:val="single" w:sz="4" w:space="0" w:color="000000"/>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center"/>
              <w:rPr>
                <w:rFonts w:ascii="Arial" w:hAnsi="Arial" w:cs="Calibri"/>
                <w:b/>
                <w:b/>
                <w:color w:val="000000"/>
                <w:sz w:val="18"/>
                <w:szCs w:val="18"/>
              </w:rPr>
            </w:pPr>
            <w:r>
              <w:rPr>
                <w:rFonts w:cs="Calibri" w:ascii="Calibri" w:hAnsi="Calibri"/>
                <w:b/>
                <w:color w:val="000000"/>
                <w:sz w:val="20"/>
                <w:szCs w:val="20"/>
              </w:rPr>
              <w:t>Qtd</w:t>
            </w:r>
          </w:p>
        </w:tc>
        <w:tc>
          <w:tcPr>
            <w:tcW w:w="1025" w:type="dxa"/>
            <w:tcBorders>
              <w:top w:val="single" w:sz="4" w:space="0" w:color="000000"/>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center"/>
              <w:rPr>
                <w:rFonts w:ascii="Arial" w:hAnsi="Arial" w:cs="Calibri"/>
                <w:b/>
                <w:b/>
                <w:color w:val="000000"/>
                <w:sz w:val="18"/>
                <w:szCs w:val="18"/>
              </w:rPr>
            </w:pPr>
            <w:r>
              <w:rPr>
                <w:rFonts w:cs="Calibri" w:ascii="Calibri" w:hAnsi="Calibri"/>
                <w:b/>
                <w:color w:val="000000"/>
                <w:sz w:val="20"/>
                <w:szCs w:val="20"/>
              </w:rPr>
              <w:t>Marca/ Modelo</w:t>
            </w:r>
          </w:p>
        </w:tc>
        <w:tc>
          <w:tcPr>
            <w:tcW w:w="1145" w:type="dxa"/>
            <w:tcBorders>
              <w:top w:val="single" w:sz="4" w:space="0" w:color="000000"/>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center"/>
              <w:rPr>
                <w:rFonts w:ascii="Arial" w:hAnsi="Arial" w:cs="Calibri"/>
                <w:b/>
                <w:b/>
                <w:color w:val="000000"/>
                <w:sz w:val="18"/>
                <w:szCs w:val="18"/>
              </w:rPr>
            </w:pPr>
            <w:r>
              <w:rPr>
                <w:rFonts w:cs="Calibri" w:ascii="Calibri" w:hAnsi="Calibri"/>
                <w:b/>
                <w:color w:val="000000"/>
                <w:sz w:val="20"/>
                <w:szCs w:val="20"/>
              </w:rPr>
              <w:t>VALOR UNITÁRIO (R$)</w:t>
            </w:r>
          </w:p>
        </w:tc>
        <w:tc>
          <w:tcPr>
            <w:tcW w:w="151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bidi w:val="0"/>
              <w:snapToGrid w:val="false"/>
              <w:spacing w:before="0" w:after="0"/>
              <w:ind w:left="0" w:right="0" w:hanging="0"/>
              <w:jc w:val="center"/>
              <w:rPr>
                <w:rFonts w:ascii="Arial" w:hAnsi="Arial" w:cs="Calibri"/>
                <w:b/>
                <w:b/>
                <w:color w:val="000000"/>
                <w:sz w:val="18"/>
                <w:szCs w:val="18"/>
              </w:rPr>
            </w:pPr>
            <w:r>
              <w:rPr>
                <w:rFonts w:cs="Calibri" w:ascii="Calibri" w:hAnsi="Calibri"/>
                <w:b/>
                <w:color w:val="000000"/>
                <w:sz w:val="20"/>
                <w:szCs w:val="20"/>
              </w:rPr>
              <w:t>VALOR TOTAL (R$)</w:t>
            </w:r>
          </w:p>
        </w:tc>
      </w:tr>
      <w:tr>
        <w:trPr>
          <w:trHeight w:val="7745" w:hRule="exact"/>
          <w:cantSplit w:val="true"/>
        </w:trPr>
        <w:tc>
          <w:tcPr>
            <w:tcW w:w="738" w:type="dxa"/>
            <w:tcBorders>
              <w:top w:val="single" w:sz="4" w:space="0" w:color="000000"/>
              <w:left w:val="single" w:sz="4" w:space="0" w:color="000000"/>
              <w:bottom w:val="single" w:sz="4" w:space="0" w:color="000000"/>
            </w:tcBorders>
            <w:shd w:fill="auto" w:val="clear"/>
            <w:vAlign w:val="center"/>
          </w:tcPr>
          <w:p>
            <w:pPr>
              <w:pStyle w:val="Contedodatabela"/>
              <w:keepNext w:val="true"/>
              <w:widowControl w:val="false"/>
              <w:bidi w:val="0"/>
              <w:snapToGrid w:val="false"/>
              <w:spacing w:before="0" w:after="0"/>
              <w:ind w:left="0" w:right="0" w:hanging="0"/>
              <w:jc w:val="center"/>
              <w:rPr>
                <w:rFonts w:ascii="Calibri" w:hAnsi="Calibri"/>
                <w:sz w:val="20"/>
                <w:szCs w:val="20"/>
              </w:rPr>
            </w:pPr>
            <w:r>
              <w:rPr>
                <w:rFonts w:ascii="Calibri" w:hAnsi="Calibri"/>
                <w:sz w:val="20"/>
                <w:szCs w:val="20"/>
              </w:rPr>
              <w:t>1</w:t>
            </w:r>
          </w:p>
        </w:tc>
        <w:tc>
          <w:tcPr>
            <w:tcW w:w="34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76" w:before="0" w:after="0"/>
              <w:ind w:left="0" w:right="0" w:hanging="2"/>
              <w:jc w:val="left"/>
              <w:rPr>
                <w:rFonts w:ascii="Calibri" w:hAnsi="Calibri"/>
                <w:sz w:val="20"/>
                <w:szCs w:val="20"/>
              </w:rPr>
            </w:pPr>
            <w:r>
              <w:rPr>
                <w:rFonts w:eastAsia="Calibri" w:cs="Calibri" w:ascii="Calibri" w:hAnsi="Calibri"/>
                <w:color w:val="000000"/>
                <w:kern w:val="0"/>
                <w:sz w:val="20"/>
                <w:szCs w:val="20"/>
                <w:lang w:val="pt-BR" w:eastAsia="pt-BR" w:bidi="ar-SA"/>
              </w:rPr>
              <w:t>Evaporador rotativo a vácuo com condensador horizontal. Gabinete construído em aço carbono com pintura eletrostática anticorrosiva.</w:t>
            </w:r>
          </w:p>
          <w:p>
            <w:pPr>
              <w:pStyle w:val="Normal"/>
              <w:widowControl w:val="false"/>
              <w:suppressAutoHyphens w:val="true"/>
              <w:spacing w:lineRule="auto" w:line="276" w:before="0" w:after="0"/>
              <w:ind w:left="0" w:right="0" w:hanging="2"/>
              <w:jc w:val="left"/>
              <w:rPr>
                <w:rFonts w:ascii="Calibri" w:hAnsi="Calibri"/>
                <w:sz w:val="20"/>
                <w:szCs w:val="20"/>
              </w:rPr>
            </w:pPr>
            <w:r>
              <w:rPr>
                <w:rFonts w:eastAsia="Calibri" w:cs="Calibri" w:ascii="Calibri" w:hAnsi="Calibri"/>
                <w:color w:val="000000"/>
                <w:kern w:val="0"/>
                <w:sz w:val="20"/>
                <w:szCs w:val="20"/>
                <w:lang w:val="pt-BR" w:eastAsia="pt-BR" w:bidi="ar-SA"/>
              </w:rPr>
              <w:t>Cuba em aço inox. Aquecimento com resistência blindada em aço inox. Vidraria em boro-silicato: condensador com serpentina dupla, balão de evaporação e coletor de 1000 ml com junta esmerilhada 24/40, torneira e eixo.</w:t>
            </w:r>
          </w:p>
          <w:p>
            <w:pPr>
              <w:pStyle w:val="Normal"/>
              <w:widowControl w:val="false"/>
              <w:suppressAutoHyphens w:val="true"/>
              <w:spacing w:lineRule="auto" w:line="276" w:before="0" w:after="0"/>
              <w:ind w:left="0" w:right="0" w:hanging="2"/>
              <w:jc w:val="left"/>
              <w:rPr>
                <w:rFonts w:ascii="Calibri" w:hAnsi="Calibri"/>
                <w:sz w:val="20"/>
                <w:szCs w:val="20"/>
              </w:rPr>
            </w:pPr>
            <w:r>
              <w:rPr>
                <w:rFonts w:eastAsia="Calibri" w:cs="Calibri" w:ascii="Calibri" w:hAnsi="Calibri"/>
                <w:color w:val="000000"/>
                <w:kern w:val="0"/>
                <w:sz w:val="20"/>
                <w:szCs w:val="20"/>
                <w:lang w:val="pt-BR" w:eastAsia="pt-BR" w:bidi="ar-SA"/>
              </w:rPr>
              <w:t>Cabo de força com dupla isolação e plug com três pinos, duas fases e um terra, de acordo com as normas abnt nbr 14136.</w:t>
            </w:r>
          </w:p>
          <w:p>
            <w:pPr>
              <w:pStyle w:val="Normal"/>
              <w:widowControl w:val="false"/>
              <w:suppressAutoHyphens w:val="true"/>
              <w:spacing w:lineRule="auto" w:line="276" w:before="0" w:after="0"/>
              <w:ind w:left="0" w:right="0" w:hanging="2"/>
              <w:jc w:val="left"/>
              <w:rPr>
                <w:rFonts w:ascii="Calibri" w:hAnsi="Calibri"/>
                <w:sz w:val="20"/>
                <w:szCs w:val="20"/>
              </w:rPr>
            </w:pPr>
            <w:r>
              <w:rPr>
                <w:rFonts w:eastAsia="Calibri" w:cs="Calibri" w:ascii="Calibri" w:hAnsi="Calibri"/>
                <w:color w:val="000000"/>
                <w:kern w:val="0"/>
                <w:sz w:val="20"/>
                <w:szCs w:val="20"/>
                <w:lang w:val="pt-BR" w:eastAsia="pt-BR" w:bidi="ar-SA"/>
              </w:rPr>
              <w:t xml:space="preserve">Ajuste de altura e inclinação com acionamento manual através de alavanca e fixação por manípulo. Controlador de temperatura microprocessado, com sistema pid. Controle de rotação eletrônico. Rotação máxima entre 200 e 300 rpm. Vácuo suportável de 760 mm/hg. Faixa de operação com temperatura até 150°c. Capacidade mínima da cuba de 9 litros. </w:t>
            </w:r>
          </w:p>
        </w:tc>
        <w:tc>
          <w:tcPr>
            <w:tcW w:w="1191" w:type="dxa"/>
            <w:tcBorders>
              <w:top w:val="single" w:sz="4" w:space="0" w:color="000000"/>
              <w:left w:val="single" w:sz="4" w:space="0" w:color="000000"/>
              <w:bottom w:val="single" w:sz="4" w:space="0" w:color="000000"/>
            </w:tcBorders>
            <w:shd w:fill="auto" w:val="clear"/>
            <w:vAlign w:val="center"/>
          </w:tcPr>
          <w:p>
            <w:pPr>
              <w:pStyle w:val="Normal"/>
              <w:widowControl w:val="false"/>
              <w:suppressAutoHyphens w:val="true"/>
              <w:bidi w:val="0"/>
              <w:snapToGrid w:val="false"/>
              <w:spacing w:lineRule="auto" w:line="276" w:before="0" w:after="120"/>
              <w:ind w:left="0" w:right="0" w:hanging="0"/>
              <w:jc w:val="center"/>
              <w:rPr>
                <w:rFonts w:ascii="Calibri" w:hAnsi="Calibri"/>
                <w:sz w:val="20"/>
                <w:szCs w:val="20"/>
              </w:rPr>
            </w:pPr>
            <w:r>
              <w:rPr>
                <w:rFonts w:ascii="Calibri" w:hAnsi="Calibri"/>
                <w:sz w:val="20"/>
                <w:szCs w:val="20"/>
              </w:rPr>
              <w:t>Und.</w:t>
            </w:r>
          </w:p>
        </w:tc>
        <w:tc>
          <w:tcPr>
            <w:tcW w:w="560" w:type="dxa"/>
            <w:tcBorders>
              <w:top w:val="single" w:sz="4" w:space="0" w:color="000000"/>
              <w:left w:val="single" w:sz="4" w:space="0" w:color="000000"/>
              <w:bottom w:val="single" w:sz="4" w:space="0" w:color="000000"/>
            </w:tcBorders>
            <w:shd w:fill="auto" w:val="clear"/>
            <w:vAlign w:val="center"/>
          </w:tcPr>
          <w:p>
            <w:pPr>
              <w:pStyle w:val="Normal"/>
              <w:widowControl w:val="false"/>
              <w:bidi w:val="0"/>
              <w:spacing w:before="0" w:after="0"/>
              <w:ind w:left="0" w:right="0" w:hanging="0"/>
              <w:jc w:val="center"/>
              <w:rPr>
                <w:rFonts w:ascii="Calibri" w:hAnsi="Calibri"/>
                <w:sz w:val="20"/>
                <w:szCs w:val="20"/>
              </w:rPr>
            </w:pPr>
            <w:r>
              <w:rPr>
                <w:rFonts w:ascii="Calibri" w:hAnsi="Calibri"/>
                <w:sz w:val="20"/>
                <w:szCs w:val="20"/>
              </w:rPr>
              <w:t>1</w:t>
            </w:r>
          </w:p>
        </w:tc>
        <w:tc>
          <w:tcPr>
            <w:tcW w:w="1025" w:type="dxa"/>
            <w:tcBorders>
              <w:top w:val="single" w:sz="4" w:space="0" w:color="000000"/>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c>
          <w:tcPr>
            <w:tcW w:w="1145" w:type="dxa"/>
            <w:tcBorders>
              <w:top w:val="single" w:sz="4" w:space="0" w:color="000000"/>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c>
          <w:tcPr>
            <w:tcW w:w="151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r>
      <w:tr>
        <w:trPr>
          <w:trHeight w:val="3850" w:hRule="exact"/>
          <w:cantSplit w:val="true"/>
        </w:trPr>
        <w:tc>
          <w:tcPr>
            <w:tcW w:w="738" w:type="dxa"/>
            <w:tcBorders>
              <w:left w:val="single" w:sz="4" w:space="0" w:color="000000"/>
              <w:bottom w:val="single" w:sz="4" w:space="0" w:color="000000"/>
            </w:tcBorders>
            <w:shd w:fill="auto" w:val="clear"/>
            <w:vAlign w:val="center"/>
          </w:tcPr>
          <w:p>
            <w:pPr>
              <w:pStyle w:val="Contedodatabela"/>
              <w:keepNext w:val="true"/>
              <w:widowControl w:val="false"/>
              <w:bidi w:val="0"/>
              <w:snapToGrid w:val="false"/>
              <w:spacing w:before="0" w:after="0"/>
              <w:ind w:left="0" w:right="0" w:hanging="0"/>
              <w:jc w:val="center"/>
              <w:rPr>
                <w:rFonts w:ascii="Calibri" w:hAnsi="Calibri"/>
                <w:sz w:val="20"/>
                <w:szCs w:val="20"/>
              </w:rPr>
            </w:pPr>
            <w:r>
              <w:rPr>
                <w:rFonts w:ascii="Calibri" w:hAnsi="Calibri"/>
                <w:sz w:val="20"/>
                <w:szCs w:val="20"/>
              </w:rPr>
              <w:t>2</w:t>
            </w:r>
          </w:p>
        </w:tc>
        <w:tc>
          <w:tcPr>
            <w:tcW w:w="3461" w:type="dxa"/>
            <w:tcBorders>
              <w:left w:val="single" w:sz="4" w:space="0" w:color="000000"/>
              <w:bottom w:val="single" w:sz="4" w:space="0" w:color="000000"/>
            </w:tcBorders>
            <w:shd w:fill="auto" w:val="clear"/>
          </w:tcPr>
          <w:p>
            <w:pPr>
              <w:pStyle w:val="Normal"/>
              <w:widowControl w:val="false"/>
              <w:suppressAutoHyphens w:val="true"/>
              <w:spacing w:lineRule="auto" w:line="276" w:before="0" w:after="0"/>
              <w:ind w:left="0" w:right="0" w:hanging="2"/>
              <w:jc w:val="left"/>
              <w:rPr>
                <w:rFonts w:ascii="Calibri" w:hAnsi="Calibri"/>
                <w:sz w:val="20"/>
                <w:szCs w:val="20"/>
              </w:rPr>
            </w:pPr>
            <w:r>
              <w:rPr>
                <w:rFonts w:ascii="Calibri" w:hAnsi="Calibri"/>
                <w:sz w:val="20"/>
                <w:szCs w:val="20"/>
              </w:rPr>
              <w:t>Seladora a vácuo de câmara, industrial, processo semiautomático, com duas barras de selagem de 400mm cada uma, com uma solda grossa de 1cm de espessura e área útil da máquina com pelo menos 320mm de distância entre as duas barras. Com corte automático do excesso de embalagem, 220 v, tampa de acrílico, painel digital com regulagens como: tempo e temperatura da selagem, tempo e pressão do vácuo, construída em aço inox 304 e bomba de vácuo de 40m³/h.</w:t>
            </w:r>
          </w:p>
        </w:tc>
        <w:tc>
          <w:tcPr>
            <w:tcW w:w="1191" w:type="dxa"/>
            <w:tcBorders>
              <w:left w:val="single" w:sz="4" w:space="0" w:color="000000"/>
              <w:bottom w:val="single" w:sz="4" w:space="0" w:color="000000"/>
            </w:tcBorders>
            <w:shd w:fill="auto" w:val="clear"/>
            <w:vAlign w:val="center"/>
          </w:tcPr>
          <w:p>
            <w:pPr>
              <w:pStyle w:val="Normal"/>
              <w:widowControl w:val="false"/>
              <w:suppressAutoHyphens w:val="true"/>
              <w:bidi w:val="0"/>
              <w:snapToGrid w:val="false"/>
              <w:spacing w:lineRule="auto" w:line="276" w:before="0" w:after="120"/>
              <w:ind w:left="0" w:right="0" w:hanging="0"/>
              <w:jc w:val="center"/>
              <w:rPr>
                <w:rFonts w:ascii="Calibri" w:hAnsi="Calibri"/>
                <w:sz w:val="20"/>
                <w:szCs w:val="20"/>
              </w:rPr>
            </w:pPr>
            <w:r>
              <w:rPr>
                <w:rFonts w:ascii="Calibri" w:hAnsi="Calibri"/>
                <w:sz w:val="20"/>
                <w:szCs w:val="20"/>
              </w:rPr>
              <w:t>Und.</w:t>
            </w:r>
          </w:p>
        </w:tc>
        <w:tc>
          <w:tcPr>
            <w:tcW w:w="560" w:type="dxa"/>
            <w:tcBorders>
              <w:left w:val="single" w:sz="4" w:space="0" w:color="000000"/>
              <w:bottom w:val="single" w:sz="4" w:space="0" w:color="000000"/>
            </w:tcBorders>
            <w:shd w:fill="auto" w:val="clear"/>
            <w:vAlign w:val="center"/>
          </w:tcPr>
          <w:p>
            <w:pPr>
              <w:pStyle w:val="Normal"/>
              <w:widowControl w:val="false"/>
              <w:bidi w:val="0"/>
              <w:spacing w:before="0" w:after="0"/>
              <w:ind w:left="0" w:right="0" w:hanging="0"/>
              <w:jc w:val="center"/>
              <w:rPr>
                <w:rFonts w:ascii="Calibri" w:hAnsi="Calibri"/>
                <w:sz w:val="20"/>
                <w:szCs w:val="20"/>
              </w:rPr>
            </w:pPr>
            <w:r>
              <w:rPr>
                <w:rFonts w:ascii="Calibri" w:hAnsi="Calibri"/>
                <w:sz w:val="20"/>
                <w:szCs w:val="20"/>
              </w:rPr>
              <w:t>1</w:t>
            </w:r>
          </w:p>
        </w:tc>
        <w:tc>
          <w:tcPr>
            <w:tcW w:w="1025" w:type="dxa"/>
            <w:tcBorders>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c>
          <w:tcPr>
            <w:tcW w:w="1145" w:type="dxa"/>
            <w:tcBorders>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c>
          <w:tcPr>
            <w:tcW w:w="1517" w:type="dxa"/>
            <w:tcBorders>
              <w:left w:val="single" w:sz="4" w:space="0" w:color="000000"/>
              <w:bottom w:val="single" w:sz="4" w:space="0" w:color="000000"/>
              <w:right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r>
      <w:tr>
        <w:trPr>
          <w:trHeight w:val="1825" w:hRule="exact"/>
          <w:cantSplit w:val="true"/>
        </w:trPr>
        <w:tc>
          <w:tcPr>
            <w:tcW w:w="738" w:type="dxa"/>
            <w:tcBorders>
              <w:left w:val="single" w:sz="4" w:space="0" w:color="000000"/>
              <w:bottom w:val="single" w:sz="4" w:space="0" w:color="000000"/>
            </w:tcBorders>
            <w:shd w:fill="auto" w:val="clear"/>
            <w:vAlign w:val="center"/>
          </w:tcPr>
          <w:p>
            <w:pPr>
              <w:pStyle w:val="Contedodatabela"/>
              <w:keepNext w:val="true"/>
              <w:widowControl w:val="false"/>
              <w:bidi w:val="0"/>
              <w:snapToGrid w:val="false"/>
              <w:spacing w:before="0" w:after="0"/>
              <w:ind w:left="0" w:right="0" w:hanging="0"/>
              <w:jc w:val="center"/>
              <w:rPr>
                <w:rFonts w:ascii="Calibri" w:hAnsi="Calibri"/>
                <w:sz w:val="20"/>
                <w:szCs w:val="20"/>
              </w:rPr>
            </w:pPr>
            <w:r>
              <w:rPr>
                <w:rFonts w:ascii="Calibri" w:hAnsi="Calibri"/>
                <w:sz w:val="20"/>
                <w:szCs w:val="20"/>
              </w:rPr>
              <w:t>3</w:t>
            </w:r>
          </w:p>
        </w:tc>
        <w:tc>
          <w:tcPr>
            <w:tcW w:w="3461" w:type="dxa"/>
            <w:tcBorders>
              <w:left w:val="single" w:sz="4" w:space="0" w:color="000000"/>
              <w:bottom w:val="single" w:sz="4" w:space="0" w:color="000000"/>
            </w:tcBorders>
            <w:shd w:fill="auto" w:val="clear"/>
          </w:tcPr>
          <w:p>
            <w:pPr>
              <w:pStyle w:val="Normal"/>
              <w:widowControl w:val="false"/>
              <w:suppressAutoHyphens w:val="true"/>
              <w:spacing w:lineRule="auto" w:line="276" w:before="0" w:after="0"/>
              <w:ind w:left="0" w:right="0" w:hanging="2"/>
              <w:jc w:val="left"/>
              <w:rPr>
                <w:rFonts w:ascii="Calibri" w:hAnsi="Calibri"/>
                <w:sz w:val="20"/>
                <w:szCs w:val="20"/>
              </w:rPr>
            </w:pPr>
            <w:r>
              <w:rPr>
                <w:rFonts w:ascii="Calibri" w:hAnsi="Calibri"/>
                <w:sz w:val="20"/>
                <w:szCs w:val="20"/>
              </w:rPr>
              <w:t>Contador manual de colônias, para todos os meios de cultura, aceita placas de petri redonda de 55 a 150mm, petri-film, compact dry, membrana de filtração, pad mc-media. Placas 50-150 mm – bivolt.</w:t>
            </w:r>
          </w:p>
        </w:tc>
        <w:tc>
          <w:tcPr>
            <w:tcW w:w="1191" w:type="dxa"/>
            <w:tcBorders>
              <w:left w:val="single" w:sz="4" w:space="0" w:color="000000"/>
              <w:bottom w:val="single" w:sz="4" w:space="0" w:color="000000"/>
            </w:tcBorders>
            <w:shd w:fill="auto" w:val="clear"/>
            <w:vAlign w:val="center"/>
          </w:tcPr>
          <w:p>
            <w:pPr>
              <w:pStyle w:val="Normal"/>
              <w:widowControl w:val="false"/>
              <w:suppressAutoHyphens w:val="true"/>
              <w:bidi w:val="0"/>
              <w:snapToGrid w:val="false"/>
              <w:spacing w:lineRule="auto" w:line="276" w:before="0" w:after="120"/>
              <w:ind w:left="0" w:right="0" w:hanging="0"/>
              <w:jc w:val="center"/>
              <w:rPr>
                <w:rFonts w:ascii="Calibri" w:hAnsi="Calibri"/>
                <w:sz w:val="20"/>
                <w:szCs w:val="20"/>
              </w:rPr>
            </w:pPr>
            <w:r>
              <w:rPr>
                <w:rFonts w:ascii="Calibri" w:hAnsi="Calibri"/>
                <w:sz w:val="20"/>
                <w:szCs w:val="20"/>
              </w:rPr>
              <w:t>Und.</w:t>
            </w:r>
          </w:p>
        </w:tc>
        <w:tc>
          <w:tcPr>
            <w:tcW w:w="560" w:type="dxa"/>
            <w:tcBorders>
              <w:left w:val="single" w:sz="4" w:space="0" w:color="000000"/>
              <w:bottom w:val="single" w:sz="4" w:space="0" w:color="000000"/>
            </w:tcBorders>
            <w:shd w:fill="auto" w:val="clear"/>
            <w:vAlign w:val="center"/>
          </w:tcPr>
          <w:p>
            <w:pPr>
              <w:pStyle w:val="Normal"/>
              <w:widowControl w:val="false"/>
              <w:bidi w:val="0"/>
              <w:spacing w:before="0" w:after="0"/>
              <w:ind w:left="0" w:right="0" w:hanging="0"/>
              <w:jc w:val="center"/>
              <w:rPr>
                <w:rFonts w:ascii="Calibri" w:hAnsi="Calibri"/>
                <w:sz w:val="20"/>
                <w:szCs w:val="20"/>
              </w:rPr>
            </w:pPr>
            <w:r>
              <w:rPr>
                <w:rFonts w:ascii="Calibri" w:hAnsi="Calibri"/>
                <w:sz w:val="20"/>
                <w:szCs w:val="20"/>
              </w:rPr>
              <w:t>1</w:t>
            </w:r>
          </w:p>
        </w:tc>
        <w:tc>
          <w:tcPr>
            <w:tcW w:w="1025" w:type="dxa"/>
            <w:tcBorders>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c>
          <w:tcPr>
            <w:tcW w:w="1145" w:type="dxa"/>
            <w:tcBorders>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c>
          <w:tcPr>
            <w:tcW w:w="1517" w:type="dxa"/>
            <w:tcBorders>
              <w:left w:val="single" w:sz="4" w:space="0" w:color="000000"/>
              <w:bottom w:val="single" w:sz="4" w:space="0" w:color="000000"/>
              <w:right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r>
      <w:tr>
        <w:trPr>
          <w:trHeight w:val="11738" w:hRule="exact"/>
          <w:cantSplit w:val="true"/>
        </w:trPr>
        <w:tc>
          <w:tcPr>
            <w:tcW w:w="738" w:type="dxa"/>
            <w:tcBorders>
              <w:left w:val="single" w:sz="4" w:space="0" w:color="000000"/>
              <w:bottom w:val="single" w:sz="4" w:space="0" w:color="000000"/>
            </w:tcBorders>
            <w:shd w:fill="auto" w:val="clear"/>
            <w:vAlign w:val="center"/>
          </w:tcPr>
          <w:p>
            <w:pPr>
              <w:pStyle w:val="Contedodatabela"/>
              <w:keepNext w:val="true"/>
              <w:widowControl w:val="false"/>
              <w:bidi w:val="0"/>
              <w:snapToGrid w:val="false"/>
              <w:spacing w:before="0" w:after="0"/>
              <w:ind w:left="0" w:right="0" w:hanging="0"/>
              <w:jc w:val="center"/>
              <w:rPr>
                <w:rFonts w:ascii="Calibri" w:hAnsi="Calibri"/>
                <w:sz w:val="20"/>
                <w:szCs w:val="20"/>
              </w:rPr>
            </w:pPr>
            <w:r>
              <w:rPr>
                <w:rFonts w:ascii="Calibri" w:hAnsi="Calibri"/>
                <w:sz w:val="20"/>
                <w:szCs w:val="20"/>
              </w:rPr>
              <w:t>4</w:t>
            </w:r>
          </w:p>
        </w:tc>
        <w:tc>
          <w:tcPr>
            <w:tcW w:w="3461" w:type="dxa"/>
            <w:tcBorders>
              <w:left w:val="single" w:sz="4" w:space="0" w:color="000000"/>
              <w:bottom w:val="single" w:sz="4" w:space="0" w:color="000000"/>
            </w:tcBorders>
            <w:shd w:fill="auto" w:val="clear"/>
          </w:tcPr>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Incubadora bacteriologica para b.o.d.:</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Estrutura:</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caixa interna em polipropileno</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caixa externa em chapa de aco com pintura eletrostática em epóxi</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isolação em poliuretano expandido</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9 suportes para ajuste da altura entre prateleiras,acompanham 5 prateleiras</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medidas internas uteis em mm.: L=510 x p=450 x a=1150</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medidas externas em mm.: L=600 x p=680 x a=1700</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volume da câmara: 334 litros - peso liquido: 80kg</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peso bruto: 85kg – dimensões da embalagem (mm): l=700 x p=800 x a= 1800</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Termostatização:</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controlador eletrônico de temperatura microprocessado, tipo pid, sensor pt. 100, com resolução de 0,1 c, e variação no controlador de +/- 0,4 c, leitura digital do set point e do processo</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programação de temperatura de segurança contra subida/descida da temperatura, programável pelo operador para no mínimo 2 c acima e abaixo do set point, com alarme audiovisual.</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temperatura de trabalho de -10 a 60 c</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termostato bimetálico de segurança para temperaturas superiores a 60 c</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ventilação interna com dois mini ventiladores, no sentido vertical, com volume de 5,4 metros cúbicos/minuto</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possui reservatório interno que proporciona umidade por evaporação natural</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unidade de refrigeracao com compressor hermético, gás livre de cfc, com sistema auxiliar de ventilação do compressor</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peças para fluxo do ar e tampa do evaporador em aco inox aisi 304</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Energia:</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painel frontal superior</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resistência blindada em aco inox aisi 304, com aletas em aço inox aisi 304, 400 watts</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tomada interna auxiliar, para instalação de equipamentos</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câmara interna com</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Iluminação automática ao abrir a porta</w:t>
            </w:r>
          </w:p>
          <w:p>
            <w:pPr>
              <w:pStyle w:val="Normal"/>
              <w:widowControl w:val="false"/>
              <w:suppressAutoHyphens w:val="true"/>
              <w:spacing w:lineRule="auto" w:line="240" w:before="0" w:after="0"/>
              <w:ind w:left="0" w:right="0" w:hanging="2"/>
              <w:jc w:val="left"/>
              <w:rPr>
                <w:rFonts w:ascii="Calibri" w:hAnsi="Calibri"/>
                <w:sz w:val="18"/>
                <w:szCs w:val="18"/>
              </w:rPr>
            </w:pPr>
            <w:r>
              <w:rPr>
                <w:rFonts w:ascii="Calibri" w:hAnsi="Calibri"/>
                <w:sz w:val="18"/>
                <w:szCs w:val="18"/>
              </w:rPr>
              <w:t xml:space="preserve">• </w:t>
            </w:r>
            <w:r>
              <w:rPr>
                <w:rFonts w:ascii="Calibri" w:hAnsi="Calibri"/>
                <w:sz w:val="18"/>
                <w:szCs w:val="18"/>
              </w:rPr>
              <w:t>cabo de energia trifilar (duas fases e um terra), com dupla isolação, com tomada e plug de tres pinos, nm 243 e nbr 14136 - 220 volts 60 hz. Com certificado de calibracao rastreavel a rbc e inmetro.</w:t>
            </w:r>
          </w:p>
        </w:tc>
        <w:tc>
          <w:tcPr>
            <w:tcW w:w="1191" w:type="dxa"/>
            <w:tcBorders>
              <w:left w:val="single" w:sz="4" w:space="0" w:color="000000"/>
              <w:bottom w:val="single" w:sz="4" w:space="0" w:color="000000"/>
            </w:tcBorders>
            <w:shd w:fill="auto" w:val="clear"/>
            <w:vAlign w:val="center"/>
          </w:tcPr>
          <w:p>
            <w:pPr>
              <w:pStyle w:val="Normal"/>
              <w:widowControl w:val="false"/>
              <w:suppressAutoHyphens w:val="true"/>
              <w:bidi w:val="0"/>
              <w:snapToGrid w:val="false"/>
              <w:spacing w:lineRule="auto" w:line="276" w:before="0" w:after="120"/>
              <w:ind w:left="0" w:right="0" w:hanging="0"/>
              <w:jc w:val="center"/>
              <w:rPr>
                <w:rFonts w:ascii="Calibri" w:hAnsi="Calibri"/>
                <w:sz w:val="20"/>
                <w:szCs w:val="20"/>
              </w:rPr>
            </w:pPr>
            <w:r>
              <w:rPr>
                <w:rFonts w:ascii="Calibri" w:hAnsi="Calibri"/>
                <w:sz w:val="20"/>
                <w:szCs w:val="20"/>
              </w:rPr>
              <w:t>Und.</w:t>
            </w:r>
          </w:p>
        </w:tc>
        <w:tc>
          <w:tcPr>
            <w:tcW w:w="560" w:type="dxa"/>
            <w:tcBorders>
              <w:left w:val="single" w:sz="4" w:space="0" w:color="000000"/>
              <w:bottom w:val="single" w:sz="4" w:space="0" w:color="000000"/>
            </w:tcBorders>
            <w:shd w:fill="auto" w:val="clear"/>
            <w:vAlign w:val="center"/>
          </w:tcPr>
          <w:p>
            <w:pPr>
              <w:pStyle w:val="Normal"/>
              <w:widowControl w:val="false"/>
              <w:bidi w:val="0"/>
              <w:spacing w:before="0" w:after="0"/>
              <w:ind w:left="0" w:right="0" w:hanging="0"/>
              <w:jc w:val="center"/>
              <w:rPr>
                <w:rFonts w:ascii="Calibri" w:hAnsi="Calibri"/>
                <w:sz w:val="20"/>
                <w:szCs w:val="20"/>
              </w:rPr>
            </w:pPr>
            <w:r>
              <w:rPr>
                <w:rFonts w:ascii="Calibri" w:hAnsi="Calibri"/>
                <w:sz w:val="20"/>
                <w:szCs w:val="20"/>
              </w:rPr>
              <w:t>1</w:t>
            </w:r>
          </w:p>
        </w:tc>
        <w:tc>
          <w:tcPr>
            <w:tcW w:w="1025" w:type="dxa"/>
            <w:tcBorders>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c>
          <w:tcPr>
            <w:tcW w:w="1145" w:type="dxa"/>
            <w:tcBorders>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c>
          <w:tcPr>
            <w:tcW w:w="1517" w:type="dxa"/>
            <w:tcBorders>
              <w:left w:val="single" w:sz="4" w:space="0" w:color="000000"/>
              <w:bottom w:val="single" w:sz="4" w:space="0" w:color="000000"/>
              <w:right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r>
      <w:tr>
        <w:trPr>
          <w:trHeight w:val="787" w:hRule="exact"/>
          <w:cantSplit w:val="true"/>
        </w:trPr>
        <w:tc>
          <w:tcPr>
            <w:tcW w:w="738" w:type="dxa"/>
            <w:tcBorders>
              <w:left w:val="single" w:sz="4" w:space="0" w:color="000000"/>
              <w:bottom w:val="single" w:sz="4" w:space="0" w:color="000000"/>
            </w:tcBorders>
            <w:shd w:fill="auto" w:val="clear"/>
            <w:vAlign w:val="center"/>
          </w:tcPr>
          <w:p>
            <w:pPr>
              <w:pStyle w:val="Contedodatabela"/>
              <w:keepNext w:val="true"/>
              <w:widowControl w:val="false"/>
              <w:bidi w:val="0"/>
              <w:snapToGrid w:val="false"/>
              <w:spacing w:before="0" w:after="0"/>
              <w:ind w:left="0" w:right="0" w:hanging="0"/>
              <w:jc w:val="center"/>
              <w:rPr>
                <w:rFonts w:ascii="Calibri" w:hAnsi="Calibri"/>
                <w:sz w:val="20"/>
                <w:szCs w:val="20"/>
              </w:rPr>
            </w:pPr>
            <w:r>
              <w:rPr>
                <w:rFonts w:ascii="Calibri" w:hAnsi="Calibri"/>
                <w:sz w:val="20"/>
                <w:szCs w:val="20"/>
              </w:rPr>
              <w:t>5</w:t>
            </w:r>
          </w:p>
        </w:tc>
        <w:tc>
          <w:tcPr>
            <w:tcW w:w="3461" w:type="dxa"/>
            <w:tcBorders>
              <w:left w:val="single" w:sz="4" w:space="0" w:color="000000"/>
              <w:bottom w:val="single" w:sz="4" w:space="0" w:color="000000"/>
            </w:tcBorders>
            <w:shd w:fill="auto" w:val="clear"/>
          </w:tcPr>
          <w:p>
            <w:pPr>
              <w:pStyle w:val="Normal"/>
              <w:widowControl w:val="false"/>
              <w:suppressAutoHyphens w:val="true"/>
              <w:spacing w:lineRule="auto" w:line="276" w:before="0" w:after="0"/>
              <w:ind w:left="0" w:right="0" w:hanging="2"/>
              <w:jc w:val="left"/>
              <w:rPr>
                <w:rFonts w:ascii="Calibri" w:hAnsi="Calibri"/>
                <w:sz w:val="20"/>
                <w:szCs w:val="20"/>
              </w:rPr>
            </w:pPr>
            <w:r>
              <w:rPr>
                <w:rFonts w:ascii="Calibri" w:hAnsi="Calibri"/>
                <w:sz w:val="20"/>
                <w:szCs w:val="20"/>
              </w:rPr>
              <w:t>Refratômetro digital. Escala de 0 a 85 graus brix.</w:t>
            </w:r>
          </w:p>
        </w:tc>
        <w:tc>
          <w:tcPr>
            <w:tcW w:w="1191" w:type="dxa"/>
            <w:tcBorders>
              <w:left w:val="single" w:sz="4" w:space="0" w:color="000000"/>
              <w:bottom w:val="single" w:sz="4" w:space="0" w:color="000000"/>
            </w:tcBorders>
            <w:shd w:fill="auto" w:val="clear"/>
            <w:vAlign w:val="center"/>
          </w:tcPr>
          <w:p>
            <w:pPr>
              <w:pStyle w:val="Normal"/>
              <w:widowControl w:val="false"/>
              <w:suppressAutoHyphens w:val="true"/>
              <w:bidi w:val="0"/>
              <w:snapToGrid w:val="false"/>
              <w:spacing w:lineRule="auto" w:line="276" w:before="0" w:after="120"/>
              <w:ind w:left="0" w:right="0" w:hanging="0"/>
              <w:jc w:val="center"/>
              <w:rPr>
                <w:rFonts w:ascii="Calibri" w:hAnsi="Calibri"/>
                <w:sz w:val="20"/>
                <w:szCs w:val="20"/>
              </w:rPr>
            </w:pPr>
            <w:r>
              <w:rPr>
                <w:rFonts w:ascii="Calibri" w:hAnsi="Calibri"/>
                <w:sz w:val="20"/>
                <w:szCs w:val="20"/>
              </w:rPr>
              <w:t>Und.</w:t>
            </w:r>
          </w:p>
        </w:tc>
        <w:tc>
          <w:tcPr>
            <w:tcW w:w="560" w:type="dxa"/>
            <w:tcBorders>
              <w:left w:val="single" w:sz="4" w:space="0" w:color="000000"/>
              <w:bottom w:val="single" w:sz="4" w:space="0" w:color="000000"/>
            </w:tcBorders>
            <w:shd w:fill="auto" w:val="clear"/>
            <w:vAlign w:val="center"/>
          </w:tcPr>
          <w:p>
            <w:pPr>
              <w:pStyle w:val="Normal"/>
              <w:widowControl w:val="false"/>
              <w:bidi w:val="0"/>
              <w:spacing w:before="0" w:after="0"/>
              <w:ind w:left="0" w:right="0" w:hanging="0"/>
              <w:jc w:val="center"/>
              <w:rPr>
                <w:rFonts w:ascii="Calibri" w:hAnsi="Calibri"/>
                <w:sz w:val="20"/>
                <w:szCs w:val="20"/>
              </w:rPr>
            </w:pPr>
            <w:r>
              <w:rPr>
                <w:rFonts w:ascii="Calibri" w:hAnsi="Calibri"/>
                <w:sz w:val="20"/>
                <w:szCs w:val="20"/>
              </w:rPr>
              <w:t>1</w:t>
            </w:r>
          </w:p>
        </w:tc>
        <w:tc>
          <w:tcPr>
            <w:tcW w:w="1025" w:type="dxa"/>
            <w:tcBorders>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c>
          <w:tcPr>
            <w:tcW w:w="1145" w:type="dxa"/>
            <w:tcBorders>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c>
          <w:tcPr>
            <w:tcW w:w="1517" w:type="dxa"/>
            <w:tcBorders>
              <w:left w:val="single" w:sz="4" w:space="0" w:color="000000"/>
              <w:bottom w:val="single" w:sz="4" w:space="0" w:color="000000"/>
              <w:right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r>
      <w:tr>
        <w:trPr>
          <w:trHeight w:val="1875" w:hRule="exact"/>
          <w:cantSplit w:val="true"/>
        </w:trPr>
        <w:tc>
          <w:tcPr>
            <w:tcW w:w="738" w:type="dxa"/>
            <w:tcBorders>
              <w:left w:val="single" w:sz="4" w:space="0" w:color="000000"/>
              <w:bottom w:val="single" w:sz="4" w:space="0" w:color="000000"/>
            </w:tcBorders>
            <w:shd w:fill="auto" w:val="clear"/>
            <w:vAlign w:val="center"/>
          </w:tcPr>
          <w:p>
            <w:pPr>
              <w:pStyle w:val="Contedodatabela"/>
              <w:keepNext w:val="true"/>
              <w:widowControl w:val="false"/>
              <w:bidi w:val="0"/>
              <w:snapToGrid w:val="false"/>
              <w:spacing w:before="0" w:after="0"/>
              <w:ind w:left="0" w:right="0" w:hanging="0"/>
              <w:jc w:val="center"/>
              <w:rPr>
                <w:rFonts w:ascii="Calibri" w:hAnsi="Calibri"/>
                <w:sz w:val="20"/>
                <w:szCs w:val="20"/>
              </w:rPr>
            </w:pPr>
            <w:r>
              <w:rPr>
                <w:rFonts w:ascii="Calibri" w:hAnsi="Calibri"/>
                <w:sz w:val="20"/>
                <w:szCs w:val="20"/>
              </w:rPr>
              <w:t>6</w:t>
            </w:r>
          </w:p>
        </w:tc>
        <w:tc>
          <w:tcPr>
            <w:tcW w:w="3461" w:type="dxa"/>
            <w:tcBorders>
              <w:left w:val="single" w:sz="4" w:space="0" w:color="000000"/>
              <w:bottom w:val="single" w:sz="4" w:space="0" w:color="000000"/>
            </w:tcBorders>
            <w:shd w:fill="auto" w:val="clear"/>
          </w:tcPr>
          <w:p>
            <w:pPr>
              <w:pStyle w:val="Normal"/>
              <w:widowControl w:val="false"/>
              <w:suppressAutoHyphens w:val="true"/>
              <w:spacing w:lineRule="auto" w:line="276" w:before="0" w:after="0"/>
              <w:ind w:left="0" w:right="0" w:hanging="2"/>
              <w:jc w:val="left"/>
              <w:rPr>
                <w:rFonts w:ascii="Calibri" w:hAnsi="Calibri"/>
                <w:sz w:val="20"/>
                <w:szCs w:val="20"/>
              </w:rPr>
            </w:pPr>
            <w:r>
              <w:rPr>
                <w:rFonts w:ascii="Calibri" w:hAnsi="Calibri"/>
                <w:sz w:val="20"/>
                <w:szCs w:val="20"/>
              </w:rPr>
              <w:t>Ensacadeira de linguiça, horizontal, estrutura em aço inox, bojo em aço inoxidavel, acionamento manula, sistema com rolamentos, cremalheira e engrenagens. Acompanhado de 3 ponteiras de diferentes diametros.</w:t>
            </w:r>
          </w:p>
        </w:tc>
        <w:tc>
          <w:tcPr>
            <w:tcW w:w="1191" w:type="dxa"/>
            <w:tcBorders>
              <w:left w:val="single" w:sz="4" w:space="0" w:color="000000"/>
              <w:bottom w:val="single" w:sz="4" w:space="0" w:color="000000"/>
            </w:tcBorders>
            <w:shd w:fill="auto" w:val="clear"/>
            <w:vAlign w:val="center"/>
          </w:tcPr>
          <w:p>
            <w:pPr>
              <w:pStyle w:val="Normal"/>
              <w:widowControl w:val="false"/>
              <w:suppressAutoHyphens w:val="true"/>
              <w:bidi w:val="0"/>
              <w:snapToGrid w:val="false"/>
              <w:spacing w:lineRule="auto" w:line="276" w:before="0" w:after="120"/>
              <w:ind w:left="0" w:right="0" w:hanging="0"/>
              <w:jc w:val="center"/>
              <w:rPr>
                <w:rFonts w:ascii="Calibri" w:hAnsi="Calibri"/>
                <w:sz w:val="20"/>
                <w:szCs w:val="20"/>
              </w:rPr>
            </w:pPr>
            <w:r>
              <w:rPr>
                <w:rFonts w:ascii="Calibri" w:hAnsi="Calibri"/>
                <w:sz w:val="20"/>
                <w:szCs w:val="20"/>
              </w:rPr>
              <w:t>Und.</w:t>
            </w:r>
          </w:p>
        </w:tc>
        <w:tc>
          <w:tcPr>
            <w:tcW w:w="560" w:type="dxa"/>
            <w:tcBorders>
              <w:left w:val="single" w:sz="4" w:space="0" w:color="000000"/>
              <w:bottom w:val="single" w:sz="4" w:space="0" w:color="000000"/>
            </w:tcBorders>
            <w:shd w:fill="auto" w:val="clear"/>
            <w:vAlign w:val="center"/>
          </w:tcPr>
          <w:p>
            <w:pPr>
              <w:pStyle w:val="Normal"/>
              <w:widowControl w:val="false"/>
              <w:bidi w:val="0"/>
              <w:spacing w:before="0" w:after="0"/>
              <w:ind w:left="0" w:right="0" w:hanging="0"/>
              <w:jc w:val="center"/>
              <w:rPr>
                <w:rFonts w:ascii="Calibri" w:hAnsi="Calibri"/>
                <w:sz w:val="20"/>
                <w:szCs w:val="20"/>
              </w:rPr>
            </w:pPr>
            <w:r>
              <w:rPr>
                <w:rFonts w:ascii="Calibri" w:hAnsi="Calibri"/>
                <w:sz w:val="20"/>
                <w:szCs w:val="20"/>
              </w:rPr>
              <w:t>1</w:t>
            </w:r>
          </w:p>
        </w:tc>
        <w:tc>
          <w:tcPr>
            <w:tcW w:w="1025" w:type="dxa"/>
            <w:tcBorders>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c>
          <w:tcPr>
            <w:tcW w:w="1145" w:type="dxa"/>
            <w:tcBorders>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c>
          <w:tcPr>
            <w:tcW w:w="1517" w:type="dxa"/>
            <w:tcBorders>
              <w:left w:val="single" w:sz="4" w:space="0" w:color="000000"/>
              <w:bottom w:val="single" w:sz="4" w:space="0" w:color="000000"/>
              <w:right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r>
      <w:tr>
        <w:trPr>
          <w:trHeight w:val="5613" w:hRule="exact"/>
          <w:cantSplit w:val="true"/>
        </w:trPr>
        <w:tc>
          <w:tcPr>
            <w:tcW w:w="738" w:type="dxa"/>
            <w:tcBorders>
              <w:left w:val="single" w:sz="4" w:space="0" w:color="000000"/>
              <w:bottom w:val="single" w:sz="4" w:space="0" w:color="000000"/>
            </w:tcBorders>
            <w:shd w:fill="auto" w:val="clear"/>
            <w:vAlign w:val="center"/>
          </w:tcPr>
          <w:p>
            <w:pPr>
              <w:pStyle w:val="Contedodatabela"/>
              <w:keepNext w:val="true"/>
              <w:widowControl w:val="false"/>
              <w:bidi w:val="0"/>
              <w:snapToGrid w:val="false"/>
              <w:spacing w:before="0" w:after="0"/>
              <w:ind w:left="0" w:right="0" w:hanging="0"/>
              <w:jc w:val="center"/>
              <w:rPr>
                <w:rFonts w:ascii="Calibri" w:hAnsi="Calibri"/>
                <w:sz w:val="20"/>
                <w:szCs w:val="20"/>
              </w:rPr>
            </w:pPr>
            <w:r>
              <w:rPr>
                <w:rFonts w:eastAsia="Calibri" w:cs="Calibri" w:ascii="Calibri" w:hAnsi="Calibri"/>
                <w:color w:val="000000"/>
                <w:kern w:val="0"/>
                <w:sz w:val="20"/>
                <w:szCs w:val="20"/>
                <w:lang w:val="pt-BR" w:eastAsia="pt-BR" w:bidi="ar-SA"/>
              </w:rPr>
              <w:t>7</w:t>
            </w:r>
          </w:p>
        </w:tc>
        <w:tc>
          <w:tcPr>
            <w:tcW w:w="3461" w:type="dxa"/>
            <w:tcBorders>
              <w:left w:val="single" w:sz="4" w:space="0" w:color="000000"/>
              <w:bottom w:val="single" w:sz="4" w:space="0" w:color="000000"/>
            </w:tcBorders>
            <w:shd w:fill="auto" w:val="clear"/>
          </w:tcPr>
          <w:p>
            <w:pPr>
              <w:pStyle w:val="Normal"/>
              <w:widowControl w:val="false"/>
              <w:suppressAutoHyphens w:val="true"/>
              <w:spacing w:lineRule="auto" w:line="276" w:before="0" w:after="0"/>
              <w:ind w:left="0" w:right="0" w:hanging="2"/>
              <w:jc w:val="left"/>
              <w:rPr>
                <w:rFonts w:ascii="Calibri" w:hAnsi="Calibri"/>
                <w:sz w:val="20"/>
                <w:szCs w:val="20"/>
              </w:rPr>
            </w:pPr>
            <w:r>
              <w:rPr>
                <w:rFonts w:ascii="Calibri" w:hAnsi="Calibri"/>
                <w:sz w:val="20"/>
                <w:szCs w:val="20"/>
              </w:rPr>
              <w:t>Moedor de carne inox. Gabinete e bandeja em aço inox. Estrutura em aço com tratamento e pintura especial. Conjunto da boca com tratamento na superfície para isolar e facilitar a limpeza.</w:t>
            </w:r>
          </w:p>
          <w:p>
            <w:pPr>
              <w:pStyle w:val="Normal"/>
              <w:widowControl w:val="false"/>
              <w:suppressAutoHyphens w:val="true"/>
              <w:spacing w:lineRule="auto" w:line="276" w:before="0" w:after="0"/>
              <w:ind w:left="0" w:right="0" w:hanging="2"/>
              <w:jc w:val="left"/>
              <w:rPr>
                <w:rFonts w:ascii="Calibri" w:hAnsi="Calibri"/>
                <w:sz w:val="20"/>
                <w:szCs w:val="20"/>
              </w:rPr>
            </w:pPr>
            <w:r>
              <w:rPr>
                <w:rFonts w:ascii="Calibri" w:hAnsi="Calibri"/>
                <w:sz w:val="20"/>
                <w:szCs w:val="20"/>
              </w:rPr>
              <w:t>Cruzetas e discos em material temperado. Pés antiderrapantes.</w:t>
            </w:r>
          </w:p>
          <w:p>
            <w:pPr>
              <w:pStyle w:val="Normal"/>
              <w:widowControl w:val="false"/>
              <w:suppressAutoHyphens w:val="true"/>
              <w:spacing w:lineRule="auto" w:line="276" w:before="0" w:after="0"/>
              <w:ind w:left="0" w:right="0" w:hanging="2"/>
              <w:jc w:val="left"/>
              <w:rPr>
                <w:rFonts w:ascii="Calibri" w:hAnsi="Calibri"/>
                <w:sz w:val="20"/>
                <w:szCs w:val="20"/>
              </w:rPr>
            </w:pPr>
            <w:r>
              <w:rPr>
                <w:rFonts w:ascii="Calibri" w:hAnsi="Calibri"/>
                <w:sz w:val="20"/>
                <w:szCs w:val="20"/>
              </w:rPr>
              <w:t>Soquete em plástico de engenharia. Com discos de 3 mm, 5mm e 8 mm. Caixa de transmissão com lubrificação permanente.</w:t>
            </w:r>
          </w:p>
          <w:p>
            <w:pPr>
              <w:pStyle w:val="Normal"/>
              <w:widowControl w:val="false"/>
              <w:suppressAutoHyphens w:val="true"/>
              <w:spacing w:lineRule="auto" w:line="276" w:before="0" w:after="0"/>
              <w:ind w:left="0" w:right="0" w:hanging="2"/>
              <w:jc w:val="left"/>
              <w:rPr>
                <w:rFonts w:ascii="Calibri" w:hAnsi="Calibri"/>
                <w:sz w:val="20"/>
                <w:szCs w:val="20"/>
              </w:rPr>
            </w:pPr>
            <w:r>
              <w:rPr>
                <w:rFonts w:ascii="Calibri" w:hAnsi="Calibri"/>
                <w:sz w:val="20"/>
                <w:szCs w:val="20"/>
              </w:rPr>
              <w:t>Potência 0,33 cv; consumo: 0,27 kw/h; produção: 130 kg/h.</w:t>
            </w:r>
          </w:p>
          <w:p>
            <w:pPr>
              <w:pStyle w:val="Normal"/>
              <w:widowControl w:val="false"/>
              <w:suppressAutoHyphens w:val="true"/>
              <w:spacing w:lineRule="auto" w:line="276" w:before="0" w:after="0"/>
              <w:ind w:left="0" w:right="0" w:hanging="2"/>
              <w:jc w:val="left"/>
              <w:rPr>
                <w:rFonts w:ascii="Calibri" w:hAnsi="Calibri"/>
                <w:sz w:val="20"/>
                <w:szCs w:val="20"/>
              </w:rPr>
            </w:pPr>
            <w:r>
              <w:rPr>
                <w:rFonts w:ascii="Calibri" w:hAnsi="Calibri"/>
                <w:sz w:val="20"/>
                <w:szCs w:val="20"/>
              </w:rPr>
              <w:t>Dimensões da máquina: • altura: 410 mm • largura: 400 mm e profundidade 360 mm • peso líquido: 18 kg ".</w:t>
            </w:r>
          </w:p>
        </w:tc>
        <w:tc>
          <w:tcPr>
            <w:tcW w:w="1191" w:type="dxa"/>
            <w:tcBorders>
              <w:left w:val="single" w:sz="4" w:space="0" w:color="000000"/>
              <w:bottom w:val="single" w:sz="4" w:space="0" w:color="000000"/>
            </w:tcBorders>
            <w:shd w:fill="auto" w:val="clear"/>
            <w:vAlign w:val="center"/>
          </w:tcPr>
          <w:p>
            <w:pPr>
              <w:pStyle w:val="Normal"/>
              <w:widowControl w:val="false"/>
              <w:suppressAutoHyphens w:val="true"/>
              <w:bidi w:val="0"/>
              <w:snapToGrid w:val="false"/>
              <w:spacing w:lineRule="auto" w:line="276" w:before="0" w:after="120"/>
              <w:ind w:left="0" w:right="0" w:hanging="0"/>
              <w:jc w:val="center"/>
              <w:rPr>
                <w:rFonts w:ascii="Calibri" w:hAnsi="Calibri"/>
                <w:sz w:val="20"/>
                <w:szCs w:val="20"/>
              </w:rPr>
            </w:pPr>
            <w:r>
              <w:rPr>
                <w:rFonts w:eastAsia="Times New Roman" w:cs="Arial" w:ascii="Calibri" w:hAnsi="Calibri"/>
                <w:color w:val="000000"/>
                <w:kern w:val="0"/>
                <w:sz w:val="20"/>
                <w:szCs w:val="20"/>
                <w:shd w:fill="auto" w:val="clear"/>
                <w:lang w:val="pt-BR" w:eastAsia="pt-BR" w:bidi="ar-SA"/>
              </w:rPr>
              <w:t>Und.</w:t>
            </w:r>
          </w:p>
        </w:tc>
        <w:tc>
          <w:tcPr>
            <w:tcW w:w="560" w:type="dxa"/>
            <w:tcBorders>
              <w:left w:val="single" w:sz="4" w:space="0" w:color="000000"/>
              <w:bottom w:val="single" w:sz="4" w:space="0" w:color="000000"/>
            </w:tcBorders>
            <w:shd w:fill="auto" w:val="clear"/>
            <w:vAlign w:val="center"/>
          </w:tcPr>
          <w:p>
            <w:pPr>
              <w:pStyle w:val="Normal"/>
              <w:widowControl w:val="false"/>
              <w:bidi w:val="0"/>
              <w:spacing w:before="0" w:after="0"/>
              <w:ind w:left="0" w:right="0" w:hanging="0"/>
              <w:jc w:val="center"/>
              <w:rPr>
                <w:rFonts w:ascii="Calibri" w:hAnsi="Calibri"/>
                <w:sz w:val="20"/>
                <w:szCs w:val="20"/>
              </w:rPr>
            </w:pPr>
            <w:r>
              <w:rPr>
                <w:rFonts w:eastAsia="Calibri" w:cs="Calibri" w:ascii="Calibri" w:hAnsi="Calibri"/>
                <w:color w:val="000000"/>
                <w:kern w:val="0"/>
                <w:sz w:val="20"/>
                <w:szCs w:val="20"/>
                <w:shd w:fill="auto" w:val="clear"/>
                <w:lang w:val="pt-BR" w:eastAsia="pt-BR" w:bidi="ar-SA"/>
              </w:rPr>
              <w:t>1</w:t>
            </w:r>
          </w:p>
        </w:tc>
        <w:tc>
          <w:tcPr>
            <w:tcW w:w="1025" w:type="dxa"/>
            <w:tcBorders>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c>
          <w:tcPr>
            <w:tcW w:w="1145" w:type="dxa"/>
            <w:tcBorders>
              <w:left w:val="single" w:sz="4" w:space="0" w:color="000000"/>
              <w:bottom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c>
          <w:tcPr>
            <w:tcW w:w="1517" w:type="dxa"/>
            <w:tcBorders>
              <w:left w:val="single" w:sz="4" w:space="0" w:color="000000"/>
              <w:bottom w:val="single" w:sz="4" w:space="0" w:color="000000"/>
              <w:right w:val="single" w:sz="4" w:space="0" w:color="000000"/>
            </w:tcBorders>
            <w:shd w:fill="auto" w:val="clear"/>
            <w:vAlign w:val="center"/>
          </w:tcPr>
          <w:p>
            <w:pPr>
              <w:pStyle w:val="Normal"/>
              <w:widowControl w:val="false"/>
              <w:bidi w:val="0"/>
              <w:snapToGrid w:val="false"/>
              <w:spacing w:before="0" w:after="0"/>
              <w:ind w:left="0" w:right="0" w:hanging="0"/>
              <w:jc w:val="both"/>
              <w:rPr>
                <w:rFonts w:ascii="Calibri" w:hAnsi="Calibri"/>
                <w:sz w:val="20"/>
                <w:szCs w:val="20"/>
                <w:highlight w:val="yellow"/>
              </w:rPr>
            </w:pPr>
            <w:r>
              <w:rPr>
                <w:rFonts w:ascii="Calibri" w:hAnsi="Calibri"/>
                <w:sz w:val="20"/>
                <w:szCs w:val="20"/>
                <w:highlight w:val="yellow"/>
              </w:rPr>
            </w:r>
          </w:p>
        </w:tc>
      </w:tr>
      <w:tr>
        <w:trPr>
          <w:trHeight w:val="283" w:hRule="exact"/>
          <w:cantSplit w:val="true"/>
        </w:trPr>
        <w:tc>
          <w:tcPr>
            <w:tcW w:w="6975" w:type="dxa"/>
            <w:gridSpan w:val="5"/>
            <w:tcBorders>
              <w:top w:val="single" w:sz="4" w:space="0" w:color="000000"/>
              <w:left w:val="single" w:sz="4" w:space="0" w:color="000000"/>
              <w:bottom w:val="single" w:sz="4" w:space="0" w:color="000000"/>
            </w:tcBorders>
            <w:shd w:fill="auto" w:val="clear"/>
            <w:vAlign w:val="center"/>
          </w:tcPr>
          <w:p>
            <w:pPr>
              <w:pStyle w:val="Normal"/>
              <w:keepNext w:val="true"/>
              <w:widowControl w:val="false"/>
              <w:bidi w:val="0"/>
              <w:snapToGrid w:val="false"/>
              <w:spacing w:before="0" w:after="0"/>
              <w:ind w:left="0" w:right="0" w:hanging="0"/>
              <w:jc w:val="both"/>
              <w:rPr>
                <w:rFonts w:ascii="Arial" w:hAnsi="Arial" w:cs="Calibri"/>
                <w:color w:val="000000"/>
                <w:sz w:val="20"/>
                <w:szCs w:val="20"/>
              </w:rPr>
            </w:pPr>
            <w:r>
              <w:rPr>
                <w:rFonts w:cs="Calibri" w:ascii="Calibri" w:hAnsi="Calibri"/>
                <w:color w:val="000000"/>
                <w:sz w:val="20"/>
                <w:szCs w:val="20"/>
              </w:rPr>
              <w:t>Valor Global</w:t>
            </w:r>
          </w:p>
        </w:tc>
        <w:tc>
          <w:tcPr>
            <w:tcW w:w="2662"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bidi w:val="0"/>
              <w:snapToGrid w:val="false"/>
              <w:spacing w:before="0" w:after="0"/>
              <w:ind w:left="0" w:right="0" w:hanging="0"/>
              <w:jc w:val="both"/>
              <w:rPr>
                <w:rFonts w:ascii="Arial" w:hAnsi="Arial" w:cs="Calibri"/>
                <w:color w:val="000000"/>
                <w:sz w:val="20"/>
                <w:szCs w:val="20"/>
              </w:rPr>
            </w:pPr>
            <w:r>
              <w:rPr>
                <w:rFonts w:cs="Calibri" w:ascii="Calibri" w:hAnsi="Calibri"/>
                <w:color w:val="000000"/>
                <w:sz w:val="20"/>
                <w:szCs w:val="20"/>
              </w:rPr>
              <w:t>R$</w:t>
            </w:r>
          </w:p>
        </w:tc>
      </w:tr>
      <w:tr>
        <w:trPr>
          <w:trHeight w:val="283" w:hRule="exact"/>
          <w:cantSplit w:val="true"/>
        </w:trPr>
        <w:tc>
          <w:tcPr>
            <w:tcW w:w="9637" w:type="dxa"/>
            <w:gridSpan w:val="7"/>
            <w:tcBorders>
              <w:top w:val="single" w:sz="4" w:space="0" w:color="000000"/>
              <w:left w:val="single" w:sz="4" w:space="0" w:color="000000"/>
              <w:bottom w:val="single" w:sz="4" w:space="0" w:color="000000"/>
              <w:right w:val="single" w:sz="4" w:space="0" w:color="000000"/>
            </w:tcBorders>
            <w:shd w:fill="auto" w:val="clear"/>
          </w:tcPr>
          <w:p>
            <w:pPr>
              <w:pStyle w:val="Normal"/>
              <w:keepNext w:val="true"/>
              <w:widowControl w:val="false"/>
              <w:bidi w:val="0"/>
              <w:snapToGrid w:val="false"/>
              <w:spacing w:before="0" w:after="0"/>
              <w:ind w:left="0" w:right="0" w:hanging="0"/>
              <w:jc w:val="both"/>
              <w:rPr>
                <w:rFonts w:ascii="Arial" w:hAnsi="Arial" w:cs="Calibri"/>
                <w:color w:val="000000"/>
                <w:sz w:val="20"/>
                <w:szCs w:val="20"/>
              </w:rPr>
            </w:pPr>
            <w:r>
              <w:rPr>
                <w:rFonts w:cs="Calibri" w:ascii="Calibri" w:hAnsi="Calibri"/>
                <w:color w:val="000000"/>
                <w:sz w:val="20"/>
                <w:szCs w:val="20"/>
              </w:rPr>
              <w:t xml:space="preserve">Valor global por extenso: </w:t>
            </w:r>
          </w:p>
        </w:tc>
      </w:tr>
    </w:tbl>
    <w:p>
      <w:pPr>
        <w:pStyle w:val="Normal"/>
        <w:suppressAutoHyphens w:val="false"/>
        <w:bidi w:val="0"/>
        <w:jc w:val="left"/>
        <w:rPr>
          <w:rFonts w:ascii="Calibri" w:hAnsi="Calibri" w:cs="Calibri"/>
          <w:sz w:val="20"/>
          <w:szCs w:val="20"/>
        </w:rPr>
      </w:pPr>
      <w:r>
        <w:rPr>
          <w:rFonts w:cs="Calibri" w:ascii="Calibri" w:hAnsi="Calibri"/>
          <w:sz w:val="20"/>
          <w:szCs w:val="20"/>
        </w:rPr>
      </w:r>
    </w:p>
    <w:p>
      <w:pPr>
        <w:pStyle w:val="Normal"/>
        <w:suppressAutoHyphens w:val="false"/>
        <w:bidi w:val="0"/>
        <w:jc w:val="both"/>
        <w:rPr/>
      </w:pPr>
      <w:r>
        <w:rPr>
          <w:rFonts w:cs="Calibri" w:ascii="Calibri" w:hAnsi="Calibri"/>
          <w:color w:val="000000"/>
          <w:sz w:val="20"/>
          <w:szCs w:val="20"/>
          <w:lang w:eastAsia="pt-BR" w:bidi="ar-SA"/>
        </w:rPr>
        <w:t xml:space="preserve">Tendo examinado o </w:t>
      </w:r>
      <w:r>
        <w:rPr>
          <w:rFonts w:eastAsia="Times New Roman" w:cs="Calibri" w:ascii="Calibri" w:hAnsi="Calibri"/>
          <w:color w:val="000000"/>
          <w:kern w:val="0"/>
          <w:sz w:val="20"/>
          <w:szCs w:val="20"/>
          <w:lang w:val="pt-BR" w:eastAsia="pt-BR" w:bidi="ar-SA"/>
        </w:rPr>
        <w:t>Aviso de Dispensa Eletrônica</w:t>
      </w:r>
      <w:r>
        <w:rPr>
          <w:rFonts w:eastAsia="Times New Roman" w:cs="Calibri" w:ascii="Calibri" w:hAnsi="Calibri"/>
          <w:color w:val="000000"/>
          <w:kern w:val="0"/>
          <w:sz w:val="20"/>
          <w:szCs w:val="20"/>
          <w:shd w:fill="auto" w:val="clear"/>
          <w:lang w:val="pt-BR" w:eastAsia="pt-BR" w:bidi="ar-SA"/>
        </w:rPr>
        <w:t xml:space="preserve"> nº 20</w:t>
      </w:r>
      <w:r>
        <w:rPr>
          <w:rFonts w:eastAsia="Times New Roman" w:cs="Calibri" w:ascii="Calibri" w:hAnsi="Calibri"/>
          <w:color w:val="000000"/>
          <w:kern w:val="0"/>
          <w:sz w:val="20"/>
          <w:szCs w:val="20"/>
          <w:shd w:fill="auto" w:val="clear"/>
          <w:lang w:val="pt-BR" w:eastAsia="pt-BR" w:bidi="ar-SA"/>
        </w:rPr>
        <w:t>/2022</w:t>
      </w:r>
      <w:r>
        <w:rPr>
          <w:rFonts w:cs="Calibri" w:ascii="Calibri" w:hAnsi="Calibri"/>
          <w:color w:val="000000"/>
          <w:sz w:val="20"/>
          <w:szCs w:val="20"/>
          <w:shd w:fill="auto" w:val="clear"/>
          <w:lang w:eastAsia="pt-BR" w:bidi="ar-SA"/>
        </w:rPr>
        <w:t xml:space="preserve"> e seus Anexos, apresentamos a presente Proposta de Preços, cujo(s) valor(es) unitário e global por item encontram-se</w:t>
      </w:r>
      <w:r>
        <w:rPr>
          <w:rFonts w:cs="Calibri" w:ascii="Calibri" w:hAnsi="Calibri"/>
          <w:color w:val="000000"/>
          <w:sz w:val="20"/>
          <w:szCs w:val="20"/>
          <w:lang w:eastAsia="pt-BR" w:bidi="ar-SA"/>
        </w:rPr>
        <w:t xml:space="preserve"> descritos acima, já inclusos todos os custos operacionais, encargos previdenciários, trabalhistas, tributários, comerciais e quaisquer outros que incidam direta ou indiretamente no fornecimento dos bens., nada mais sendo lícito pleitear a esse título. Outrossim, declaramos que caso nossa Proposta de Preços seja aceita, comprometemo-nos em:</w:t>
      </w:r>
    </w:p>
    <w:p>
      <w:pPr>
        <w:pStyle w:val="Normal"/>
        <w:suppressAutoHyphens w:val="false"/>
        <w:bidi w:val="0"/>
        <w:jc w:val="both"/>
        <w:rPr>
          <w:rFonts w:ascii="Calibri" w:hAnsi="Calibri" w:cs="Calibri"/>
          <w:color w:val="000000"/>
          <w:sz w:val="20"/>
          <w:szCs w:val="20"/>
          <w:lang w:eastAsia="pt-BR" w:bidi="ar-SA"/>
        </w:rPr>
      </w:pPr>
      <w:r>
        <w:rPr>
          <w:rFonts w:cs="Calibri" w:ascii="Calibri" w:hAnsi="Calibri"/>
          <w:color w:val="000000"/>
          <w:sz w:val="20"/>
          <w:szCs w:val="20"/>
          <w:lang w:eastAsia="pt-BR" w:bidi="ar-SA"/>
        </w:rPr>
      </w:r>
    </w:p>
    <w:p>
      <w:pPr>
        <w:pStyle w:val="Normal"/>
        <w:tabs>
          <w:tab w:val="clear" w:pos="709"/>
          <w:tab w:val="left" w:pos="1135" w:leader="none"/>
        </w:tabs>
        <w:suppressAutoHyphens w:val="false"/>
        <w:bidi w:val="0"/>
        <w:ind w:left="709" w:right="0" w:hanging="0"/>
        <w:jc w:val="both"/>
        <w:rPr>
          <w:rFonts w:ascii="Calibri" w:hAnsi="Calibri"/>
        </w:rPr>
      </w:pPr>
      <w:r>
        <w:rPr>
          <w:rFonts w:cs="Calibri" w:ascii="Calibri" w:hAnsi="Calibri"/>
          <w:color w:val="000000"/>
          <w:sz w:val="20"/>
          <w:szCs w:val="20"/>
          <w:lang w:eastAsia="pt-BR" w:bidi="ar-SA"/>
        </w:rPr>
        <w:t>a)</w:t>
      </w:r>
      <w:r>
        <w:rPr>
          <w:rFonts w:cs="Calibri" w:ascii="Calibri" w:hAnsi="Calibri"/>
          <w:b/>
          <w:bCs/>
          <w:color w:val="000000"/>
          <w:sz w:val="20"/>
          <w:szCs w:val="20"/>
          <w:lang w:eastAsia="pt-BR" w:bidi="ar-SA"/>
        </w:rPr>
        <w:t xml:space="preserve"> </w:t>
      </w:r>
      <w:r>
        <w:rPr>
          <w:rFonts w:eastAsia="Times New Roman" w:cs="Calibri" w:ascii="Calibri" w:hAnsi="Calibri"/>
          <w:b w:val="false"/>
          <w:bCs w:val="false"/>
          <w:color w:val="000000"/>
          <w:kern w:val="0"/>
          <w:sz w:val="20"/>
          <w:szCs w:val="20"/>
          <w:lang w:val="pt-BR" w:eastAsia="pt-BR" w:bidi="ar-SA"/>
        </w:rPr>
        <w:t>Aceitar a Nota de Empenho</w:t>
      </w:r>
      <w:r>
        <w:rPr>
          <w:rFonts w:cs="Calibri" w:ascii="Calibri" w:hAnsi="Calibri"/>
          <w:b w:val="false"/>
          <w:bCs w:val="false"/>
          <w:color w:val="000000"/>
          <w:sz w:val="20"/>
          <w:szCs w:val="20"/>
          <w:lang w:eastAsia="pt-BR" w:bidi="ar-SA"/>
        </w:rPr>
        <w:t xml:space="preserve"> </w:t>
      </w:r>
      <w:r>
        <w:rPr>
          <w:rFonts w:cs="Calibri" w:ascii="Calibri" w:hAnsi="Calibri"/>
          <w:color w:val="000000"/>
          <w:sz w:val="20"/>
          <w:szCs w:val="20"/>
          <w:lang w:eastAsia="pt-BR" w:bidi="ar-SA"/>
        </w:rPr>
        <w:t>no prazo de 5 (cinco) dias úteis após o seu recebimento.</w:t>
      </w:r>
    </w:p>
    <w:p>
      <w:pPr>
        <w:pStyle w:val="Normal"/>
        <w:tabs>
          <w:tab w:val="clear" w:pos="709"/>
          <w:tab w:val="left" w:pos="1135" w:leader="none"/>
        </w:tabs>
        <w:suppressAutoHyphens w:val="false"/>
        <w:bidi w:val="0"/>
        <w:ind w:left="709" w:right="0" w:hanging="0"/>
        <w:jc w:val="both"/>
        <w:rPr>
          <w:rFonts w:ascii="Calibri" w:hAnsi="Calibri" w:cs="Calibri"/>
          <w:color w:val="000000"/>
          <w:sz w:val="20"/>
          <w:szCs w:val="20"/>
          <w:lang w:eastAsia="pt-BR" w:bidi="ar-SA"/>
        </w:rPr>
      </w:pPr>
      <w:r>
        <w:rPr>
          <w:rFonts w:cs="Calibri" w:ascii="Calibri" w:hAnsi="Calibri"/>
          <w:color w:val="000000"/>
          <w:sz w:val="20"/>
          <w:szCs w:val="20"/>
          <w:lang w:eastAsia="pt-BR" w:bidi="ar-SA"/>
        </w:rPr>
      </w:r>
    </w:p>
    <w:p>
      <w:pPr>
        <w:pStyle w:val="Normal"/>
        <w:tabs>
          <w:tab w:val="clear" w:pos="709"/>
          <w:tab w:val="left" w:pos="1135" w:leader="none"/>
        </w:tabs>
        <w:suppressAutoHyphens w:val="false"/>
        <w:bidi w:val="0"/>
        <w:ind w:left="709" w:right="0" w:hanging="0"/>
        <w:jc w:val="both"/>
        <w:rPr/>
      </w:pPr>
      <w:r>
        <w:rPr>
          <w:rFonts w:cs="Calibri" w:ascii="Calibri" w:hAnsi="Calibri"/>
          <w:color w:val="000000"/>
          <w:sz w:val="20"/>
          <w:szCs w:val="20"/>
          <w:lang w:eastAsia="pt-BR" w:bidi="ar-SA"/>
        </w:rPr>
        <w:t xml:space="preserve">b) Fornecer o objeto deste certame, no prazo máximo de </w:t>
      </w:r>
      <w:r>
        <w:rPr>
          <w:rFonts w:eastAsia="NSimSun" w:cs="Calibri" w:ascii="Calibri" w:hAnsi="Calibri"/>
          <w:b/>
          <w:bCs/>
          <w:color w:val="000000"/>
          <w:kern w:val="2"/>
          <w:sz w:val="20"/>
          <w:szCs w:val="20"/>
          <w:shd w:fill="auto" w:val="clear"/>
          <w:lang w:val="pt-BR" w:eastAsia="pt-BR" w:bidi="ar-SA"/>
        </w:rPr>
        <w:t>30</w:t>
      </w:r>
      <w:r>
        <w:rPr>
          <w:rFonts w:cs="Calibri" w:ascii="Calibri" w:hAnsi="Calibri"/>
          <w:b/>
          <w:bCs/>
          <w:color w:val="000000"/>
          <w:sz w:val="20"/>
          <w:szCs w:val="20"/>
          <w:shd w:fill="auto" w:val="clear"/>
          <w:lang w:eastAsia="pt-BR" w:bidi="ar-SA"/>
        </w:rPr>
        <w:t xml:space="preserve"> (</w:t>
      </w:r>
      <w:r>
        <w:rPr>
          <w:rFonts w:eastAsia="NSimSun" w:cs="Calibri" w:ascii="Calibri" w:hAnsi="Calibri"/>
          <w:b/>
          <w:bCs/>
          <w:color w:val="000000"/>
          <w:kern w:val="2"/>
          <w:sz w:val="20"/>
          <w:szCs w:val="20"/>
          <w:shd w:fill="auto" w:val="clear"/>
          <w:lang w:val="pt-BR" w:eastAsia="pt-BR" w:bidi="ar-SA"/>
        </w:rPr>
        <w:t>trinta</w:t>
      </w:r>
      <w:r>
        <w:rPr>
          <w:rFonts w:cs="Calibri" w:ascii="Calibri" w:hAnsi="Calibri"/>
          <w:b/>
          <w:bCs/>
          <w:color w:val="000000"/>
          <w:sz w:val="20"/>
          <w:szCs w:val="20"/>
          <w:shd w:fill="auto" w:val="clear"/>
          <w:lang w:eastAsia="pt-BR" w:bidi="ar-SA"/>
        </w:rPr>
        <w:t>) dias corridos</w:t>
      </w:r>
      <w:r>
        <w:rPr>
          <w:rFonts w:cs="Calibri" w:ascii="Calibri" w:hAnsi="Calibri"/>
          <w:color w:val="000000"/>
          <w:sz w:val="20"/>
          <w:szCs w:val="20"/>
          <w:lang w:eastAsia="pt-BR" w:bidi="ar-SA"/>
        </w:rPr>
        <w:t>, em estrita observância das condições estabelecidas no termo de referência a contar do recebimento da Nota de Empenho.</w:t>
      </w:r>
    </w:p>
    <w:p>
      <w:pPr>
        <w:pStyle w:val="Normal"/>
        <w:tabs>
          <w:tab w:val="clear" w:pos="709"/>
          <w:tab w:val="left" w:pos="1135" w:leader="none"/>
        </w:tabs>
        <w:suppressAutoHyphens w:val="false"/>
        <w:bidi w:val="0"/>
        <w:ind w:left="709" w:right="0" w:hanging="0"/>
        <w:jc w:val="both"/>
        <w:rPr>
          <w:rFonts w:ascii="Calibri" w:hAnsi="Calibri" w:cs="Calibri"/>
          <w:color w:val="000000"/>
          <w:lang w:eastAsia="pt-BR" w:bidi="ar-SA"/>
        </w:rPr>
      </w:pPr>
      <w:r>
        <w:rPr>
          <w:rFonts w:cs="Calibri" w:ascii="Calibri" w:hAnsi="Calibri"/>
          <w:color w:val="000000"/>
          <w:lang w:eastAsia="pt-BR" w:bidi="ar-SA"/>
        </w:rPr>
      </w:r>
    </w:p>
    <w:p>
      <w:pPr>
        <w:pStyle w:val="Normal"/>
        <w:tabs>
          <w:tab w:val="clear" w:pos="709"/>
          <w:tab w:val="left" w:pos="1135" w:leader="none"/>
        </w:tabs>
        <w:suppressAutoHyphens w:val="false"/>
        <w:bidi w:val="0"/>
        <w:ind w:left="709" w:right="0" w:hanging="0"/>
        <w:jc w:val="both"/>
        <w:rPr>
          <w:rFonts w:ascii="Arial" w:hAnsi="Arial" w:cs="Calibri"/>
          <w:color w:val="000000"/>
          <w:sz w:val="20"/>
          <w:szCs w:val="20"/>
          <w:lang w:eastAsia="pt-BR" w:bidi="ar-SA"/>
        </w:rPr>
      </w:pPr>
      <w:r>
        <w:rPr>
          <w:rFonts w:cs="Calibri" w:ascii="Calibri" w:hAnsi="Calibri"/>
          <w:color w:val="000000"/>
          <w:sz w:val="20"/>
          <w:szCs w:val="20"/>
          <w:lang w:eastAsia="pt-BR" w:bidi="ar-SA"/>
        </w:rPr>
        <w:t>c) Emitir e entregar a nota fiscal, para que após a entrega e aceite do(s) produto(s) seja efetuado o respectivo pagamento;</w:t>
      </w:r>
    </w:p>
    <w:p>
      <w:pPr>
        <w:pStyle w:val="Normal"/>
        <w:tabs>
          <w:tab w:val="clear" w:pos="709"/>
          <w:tab w:val="left" w:pos="1135" w:leader="none"/>
        </w:tabs>
        <w:suppressAutoHyphens w:val="false"/>
        <w:bidi w:val="0"/>
        <w:ind w:left="709" w:right="0" w:hanging="0"/>
        <w:jc w:val="both"/>
        <w:rPr>
          <w:rFonts w:ascii="Calibri" w:hAnsi="Calibri" w:cs="Calibri"/>
          <w:color w:val="000000"/>
          <w:sz w:val="20"/>
          <w:szCs w:val="20"/>
          <w:lang w:eastAsia="pt-BR" w:bidi="ar-SA"/>
        </w:rPr>
      </w:pPr>
      <w:r>
        <w:rPr>
          <w:rFonts w:cs="Calibri" w:ascii="Calibri" w:hAnsi="Calibri"/>
          <w:color w:val="000000"/>
          <w:sz w:val="20"/>
          <w:szCs w:val="20"/>
          <w:lang w:eastAsia="pt-BR" w:bidi="ar-SA"/>
        </w:rPr>
      </w:r>
    </w:p>
    <w:p>
      <w:pPr>
        <w:pStyle w:val="Normal"/>
        <w:tabs>
          <w:tab w:val="clear" w:pos="709"/>
          <w:tab w:val="left" w:pos="1135" w:leader="none"/>
        </w:tabs>
        <w:suppressAutoHyphens w:val="false"/>
        <w:bidi w:val="0"/>
        <w:ind w:left="709" w:right="0" w:hanging="0"/>
        <w:jc w:val="both"/>
        <w:rPr>
          <w:rFonts w:ascii="Calibri" w:hAnsi="Calibri"/>
        </w:rPr>
      </w:pPr>
      <w:r>
        <w:rPr>
          <w:rFonts w:cs="Calibri" w:ascii="Calibri" w:hAnsi="Calibri"/>
          <w:color w:val="000000"/>
          <w:sz w:val="20"/>
          <w:szCs w:val="20"/>
          <w:lang w:eastAsia="pt-BR" w:bidi="ar-SA"/>
        </w:rPr>
        <w:t>d) Manter a validade desta Proposta de Preços pelo período mínimo de</w:t>
      </w:r>
      <w:r>
        <w:rPr>
          <w:rFonts w:cs="Calibri" w:ascii="Calibri" w:hAnsi="Calibri"/>
          <w:b/>
          <w:bCs/>
          <w:color w:val="000000"/>
          <w:sz w:val="20"/>
          <w:szCs w:val="20"/>
          <w:shd w:fill="auto" w:val="clear"/>
          <w:lang w:eastAsia="pt-BR" w:bidi="ar-SA"/>
        </w:rPr>
        <w:t xml:space="preserve"> 60 dias.</w:t>
      </w:r>
    </w:p>
    <w:p>
      <w:pPr>
        <w:pStyle w:val="Normal"/>
        <w:tabs>
          <w:tab w:val="clear" w:pos="709"/>
          <w:tab w:val="left" w:pos="852" w:leader="none"/>
        </w:tabs>
        <w:suppressAutoHyphens w:val="false"/>
        <w:bidi w:val="0"/>
        <w:ind w:left="426" w:right="0" w:hanging="0"/>
        <w:jc w:val="both"/>
        <w:rPr>
          <w:rFonts w:ascii="Calibri" w:hAnsi="Calibri" w:cs="Calibri"/>
          <w:color w:val="000000"/>
          <w:sz w:val="20"/>
          <w:szCs w:val="20"/>
          <w:lang w:eastAsia="pt-BR" w:bidi="ar-SA"/>
        </w:rPr>
      </w:pPr>
      <w:r>
        <w:rPr>
          <w:rFonts w:cs="Calibri" w:ascii="Calibri" w:hAnsi="Calibri"/>
          <w:color w:val="000000"/>
          <w:sz w:val="20"/>
          <w:szCs w:val="20"/>
          <w:lang w:eastAsia="pt-BR" w:bidi="ar-SA"/>
        </w:rPr>
      </w:r>
    </w:p>
    <w:p>
      <w:pPr>
        <w:pStyle w:val="Normal"/>
        <w:bidi w:val="0"/>
        <w:spacing w:before="0" w:after="240"/>
        <w:jc w:val="both"/>
        <w:rPr>
          <w:rFonts w:ascii="Calibri" w:hAnsi="Calibri"/>
        </w:rPr>
      </w:pPr>
      <w:r>
        <w:rPr>
          <w:rFonts w:cs="Calibri" w:ascii="Calibri" w:hAnsi="Calibri"/>
          <w:color w:val="000000"/>
          <w:sz w:val="20"/>
          <w:szCs w:val="20"/>
        </w:rPr>
        <w:t xml:space="preserve">Declaramos </w:t>
      </w:r>
      <w:r>
        <w:rPr>
          <w:rFonts w:eastAsia="Calibri" w:cs="Calibri" w:ascii="Calibri" w:hAnsi="Calibri"/>
          <w:color w:val="000000"/>
          <w:sz w:val="20"/>
          <w:szCs w:val="20"/>
        </w:rPr>
        <w:t xml:space="preserve">que o(s) equipamento(s) a ser(em) entregue(s) estará(rão) em conformidade com o </w:t>
      </w:r>
      <w:r>
        <w:rPr>
          <w:rFonts w:eastAsia="Calibri" w:cs="Calibri" w:ascii="Calibri" w:hAnsi="Calibri"/>
          <w:color w:val="000000"/>
          <w:kern w:val="0"/>
          <w:sz w:val="20"/>
          <w:szCs w:val="20"/>
          <w:lang w:val="pt-BR" w:eastAsia="pt-BR" w:bidi="ar-SA"/>
        </w:rPr>
        <w:t>Termo de Referência.</w:t>
      </w:r>
    </w:p>
    <w:p>
      <w:pPr>
        <w:pStyle w:val="Normal"/>
        <w:bidi w:val="0"/>
        <w:spacing w:before="0" w:after="240"/>
        <w:jc w:val="both"/>
        <w:rPr>
          <w:rFonts w:ascii="Calibri" w:hAnsi="Calibri"/>
        </w:rPr>
      </w:pPr>
      <w:r>
        <w:rPr>
          <w:rFonts w:cs="Calibri" w:ascii="Calibri" w:hAnsi="Calibri"/>
          <w:color w:val="000000"/>
          <w:sz w:val="20"/>
          <w:szCs w:val="20"/>
        </w:rPr>
        <w:t>Declaramos,</w:t>
      </w:r>
      <w:r>
        <w:rPr>
          <w:rFonts w:cs="Calibri" w:ascii="Calibri" w:hAnsi="Calibri"/>
          <w:sz w:val="20"/>
          <w:szCs w:val="20"/>
          <w:lang w:eastAsia="pt-BR"/>
        </w:rPr>
        <w:t xml:space="preserve"> sob as penas da Lei nº 6.938/1981, que atendemos aos critérios de qualidade ambiental e sustentabilidade socioambiental, respeitando as normas de proteção do meio ambiente, estando ciente da obrigatoriedade do cumprimento integral ao que estabelece o art. 6º e seus incisos, da Instrução Normativa nº 01, de 19 de janeiro de 2010, do Ministério do Planejamento, Orçamento e Gestão (MPOG).</w:t>
      </w:r>
    </w:p>
    <w:p>
      <w:pPr>
        <w:pStyle w:val="Normal"/>
        <w:suppressAutoHyphens w:val="false"/>
        <w:bidi w:val="0"/>
        <w:spacing w:lineRule="auto" w:line="360"/>
        <w:jc w:val="right"/>
        <w:rPr>
          <w:rFonts w:ascii="Arial" w:hAnsi="Arial" w:cs="Calibri"/>
          <w:color w:val="000000"/>
          <w:sz w:val="20"/>
          <w:szCs w:val="20"/>
          <w:lang w:eastAsia="pt-BR" w:bidi="ar-SA"/>
        </w:rPr>
      </w:pPr>
      <w:r>
        <w:rPr>
          <w:rFonts w:cs="Calibri" w:ascii="Calibri" w:hAnsi="Calibri"/>
          <w:color w:val="000000"/>
          <w:sz w:val="20"/>
          <w:szCs w:val="20"/>
          <w:lang w:eastAsia="pt-BR" w:bidi="ar-SA"/>
        </w:rPr>
        <w:t>Local e data, _______________________, ___/________/______</w:t>
      </w:r>
    </w:p>
    <w:p>
      <w:pPr>
        <w:pStyle w:val="Normal"/>
        <w:suppressAutoHyphens w:val="false"/>
        <w:bidi w:val="0"/>
        <w:spacing w:lineRule="auto" w:line="360"/>
        <w:jc w:val="right"/>
        <w:rPr>
          <w:rFonts w:ascii="Calibri" w:hAnsi="Calibri" w:cs="Calibri"/>
          <w:color w:val="000000"/>
          <w:sz w:val="20"/>
          <w:szCs w:val="20"/>
        </w:rPr>
      </w:pPr>
      <w:r>
        <w:rPr>
          <w:rFonts w:cs="Calibri" w:ascii="Calibri" w:hAnsi="Calibri"/>
          <w:color w:val="000000"/>
          <w:sz w:val="20"/>
          <w:szCs w:val="20"/>
        </w:rPr>
      </w:r>
    </w:p>
    <w:p>
      <w:pPr>
        <w:pStyle w:val="Normal"/>
        <w:suppressAutoHyphens w:val="false"/>
        <w:bidi w:val="0"/>
        <w:spacing w:lineRule="auto" w:line="360"/>
        <w:jc w:val="center"/>
        <w:rPr>
          <w:rFonts w:ascii="Arial" w:hAnsi="Arial" w:cs="Calibri"/>
          <w:color w:val="000000"/>
          <w:sz w:val="20"/>
          <w:szCs w:val="20"/>
          <w:lang w:eastAsia="pt-BR" w:bidi="ar-SA"/>
        </w:rPr>
      </w:pPr>
      <w:r>
        <w:rPr>
          <w:rFonts w:cs="Calibri" w:ascii="Calibri" w:hAnsi="Calibri"/>
          <w:color w:val="000000"/>
          <w:sz w:val="20"/>
          <w:szCs w:val="20"/>
          <w:lang w:eastAsia="pt-BR" w:bidi="ar-SA"/>
        </w:rPr>
        <w:t>__________________________________________________________</w:t>
      </w:r>
    </w:p>
    <w:p>
      <w:pPr>
        <w:pStyle w:val="Normal"/>
        <w:bidi w:val="0"/>
        <w:spacing w:lineRule="auto" w:line="360" w:before="0" w:after="240"/>
        <w:jc w:val="center"/>
        <w:rPr>
          <w:rFonts w:ascii="Arial" w:hAnsi="Arial" w:cs="Calibri"/>
          <w:color w:val="000000"/>
          <w:sz w:val="20"/>
          <w:szCs w:val="20"/>
          <w:lang w:eastAsia="pt-BR" w:bidi="ar-SA"/>
        </w:rPr>
      </w:pPr>
      <w:r>
        <w:rPr>
          <w:rFonts w:cs="Calibri" w:ascii="Calibri" w:hAnsi="Calibri"/>
          <w:color w:val="000000"/>
          <w:sz w:val="20"/>
          <w:szCs w:val="20"/>
          <w:lang w:eastAsia="pt-BR" w:bidi="ar-SA"/>
        </w:rPr>
        <w:t>Nome, CPF e assinatura do responsável legal da empresa – CNPJ</w:t>
      </w:r>
    </w:p>
    <w:p>
      <w:pPr>
        <w:pStyle w:val="Normal"/>
        <w:bidi w:val="0"/>
        <w:jc w:val="left"/>
        <w:rPr>
          <w:rFonts w:ascii="Arial" w:hAnsi="Arial" w:eastAsia="Helvetica;Arial" w:cs="Calibri"/>
          <w:b/>
          <w:b/>
          <w:bCs/>
          <w:i/>
          <w:i/>
          <w:iCs/>
          <w:color w:val="FF0000"/>
          <w:sz w:val="20"/>
          <w:szCs w:val="20"/>
          <w:lang w:eastAsia="pt-BR" w:bidi="ar-SA"/>
        </w:rPr>
      </w:pPr>
      <w:r>
        <w:rPr>
          <w:rFonts w:eastAsia="Helvetica;Arial" w:cs="Calibri" w:ascii="Calibri" w:hAnsi="Calibri"/>
          <w:b/>
          <w:bCs/>
          <w:i/>
          <w:iCs/>
          <w:color w:val="FF0000"/>
          <w:sz w:val="20"/>
          <w:szCs w:val="20"/>
          <w:lang w:eastAsia="pt-BR" w:bidi="ar-SA"/>
        </w:rPr>
        <w:t>Observações:</w:t>
      </w:r>
    </w:p>
    <w:p>
      <w:pPr>
        <w:pStyle w:val="Normal"/>
        <w:bidi w:val="0"/>
        <w:jc w:val="left"/>
        <w:rPr>
          <w:rFonts w:ascii="Arial" w:hAnsi="Arial" w:eastAsia="Helvetica;Arial" w:cs="Calibri"/>
          <w:i/>
          <w:i/>
          <w:iCs/>
          <w:color w:val="FF0000"/>
          <w:sz w:val="20"/>
          <w:szCs w:val="20"/>
          <w:lang w:eastAsia="pt-BR" w:bidi="ar-SA"/>
        </w:rPr>
      </w:pPr>
      <w:r>
        <w:rPr>
          <w:rFonts w:eastAsia="Helvetica;Arial" w:cs="Calibri" w:ascii="Calibri" w:hAnsi="Calibri"/>
          <w:i/>
          <w:iCs/>
          <w:color w:val="FF0000"/>
          <w:sz w:val="20"/>
          <w:szCs w:val="20"/>
          <w:lang w:eastAsia="pt-BR" w:bidi="ar-SA"/>
        </w:rPr>
        <w:t>1. Emitir em papel que identifique a licitante</w:t>
      </w:r>
    </w:p>
    <w:p>
      <w:pPr>
        <w:pStyle w:val="Normal"/>
        <w:bidi w:val="0"/>
        <w:jc w:val="left"/>
        <w:rPr>
          <w:rFonts w:ascii="Arial" w:hAnsi="Arial" w:cs="Calibri"/>
          <w:i/>
          <w:i/>
          <w:iCs/>
          <w:color w:val="FF0000"/>
          <w:sz w:val="20"/>
          <w:szCs w:val="20"/>
          <w:lang w:eastAsia="pt-BR" w:bidi="ar-SA"/>
        </w:rPr>
      </w:pPr>
      <w:r>
        <w:rPr>
          <w:rFonts w:cs="Calibri" w:ascii="Calibri" w:hAnsi="Calibri"/>
          <w:i/>
          <w:iCs/>
          <w:color w:val="FF0000"/>
          <w:sz w:val="20"/>
          <w:szCs w:val="20"/>
          <w:lang w:eastAsia="pt-BR" w:bidi="ar-SA"/>
        </w:rPr>
        <w:t>2. Esse documento deve ser assinado eletronicamente ou impresso, assinado e digitalizado.</w:t>
      </w:r>
    </w:p>
    <w:p>
      <w:pPr>
        <w:pStyle w:val="Normal"/>
        <w:bidi w:val="0"/>
        <w:jc w:val="center"/>
        <w:rPr>
          <w:rFonts w:ascii="Calibri" w:hAnsi="Calibri" w:cs="Calibri"/>
          <w:color w:val="FF0000"/>
          <w:sz w:val="20"/>
          <w:szCs w:val="20"/>
          <w:lang w:eastAsia="pt-BR" w:bidi="ar-SA"/>
        </w:rPr>
      </w:pPr>
      <w:r>
        <w:rPr>
          <w:rFonts w:cs="Calibri" w:ascii="Calibri" w:hAnsi="Calibri"/>
          <w:color w:val="FF0000"/>
          <w:sz w:val="20"/>
          <w:szCs w:val="20"/>
          <w:lang w:eastAsia="pt-BR" w:bidi="ar-SA"/>
        </w:rPr>
      </w:r>
    </w:p>
    <w:p>
      <w:pPr>
        <w:pStyle w:val="Corpodotexto"/>
        <w:bidi w:val="0"/>
        <w:spacing w:before="113" w:after="113"/>
        <w:jc w:val="both"/>
        <w:rPr>
          <w:rFonts w:ascii="Arial" w:hAnsi="Arial" w:cs="Calibri"/>
          <w:color w:val="000000"/>
          <w:sz w:val="20"/>
          <w:szCs w:val="20"/>
        </w:rPr>
      </w:pPr>
      <w:r>
        <w:rPr>
          <w:rFonts w:cs="Calibri" w:ascii="Calibri" w:hAnsi="Calibri"/>
          <w:color w:val="000000"/>
          <w:sz w:val="20"/>
          <w:szCs w:val="20"/>
        </w:rPr>
        <w:t>Após cumpridas nossas obrigações, e para fins de posterior pagamento, fornecemos os seguintes dados:</w:t>
      </w:r>
    </w:p>
    <w:p>
      <w:pPr>
        <w:pStyle w:val="Corpodotexto"/>
        <w:bidi w:val="0"/>
        <w:spacing w:before="113" w:after="113"/>
        <w:jc w:val="both"/>
        <w:rPr>
          <w:rFonts w:ascii="Arial" w:hAnsi="Arial" w:cs="Calibri"/>
          <w:color w:val="000000"/>
          <w:sz w:val="20"/>
          <w:szCs w:val="20"/>
        </w:rPr>
      </w:pPr>
      <w:r>
        <w:rPr>
          <w:rFonts w:cs="Calibri" w:ascii="Calibri" w:hAnsi="Calibri"/>
          <w:color w:val="000000"/>
          <w:sz w:val="20"/>
          <w:szCs w:val="20"/>
        </w:rPr>
        <w:t>1. Dados da Empresa:</w:t>
      </w:r>
    </w:p>
    <w:p>
      <w:pPr>
        <w:pStyle w:val="Corpodotexto"/>
        <w:numPr>
          <w:ilvl w:val="0"/>
          <w:numId w:val="1"/>
        </w:numPr>
        <w:bidi w:val="0"/>
        <w:spacing w:lineRule="auto" w:line="240" w:before="113" w:after="113"/>
        <w:jc w:val="both"/>
        <w:rPr>
          <w:rFonts w:ascii="Arial" w:hAnsi="Arial" w:cs="Calibri"/>
          <w:color w:val="000000"/>
          <w:sz w:val="20"/>
          <w:szCs w:val="20"/>
        </w:rPr>
      </w:pPr>
      <w:r>
        <w:rPr>
          <w:rFonts w:cs="Calibri" w:ascii="Calibri" w:hAnsi="Calibri"/>
          <w:color w:val="000000"/>
          <w:sz w:val="20"/>
          <w:szCs w:val="20"/>
        </w:rPr>
        <w:t>Razão Social:</w:t>
      </w:r>
    </w:p>
    <w:p>
      <w:pPr>
        <w:pStyle w:val="Corpodotexto"/>
        <w:numPr>
          <w:ilvl w:val="0"/>
          <w:numId w:val="1"/>
        </w:numPr>
        <w:bidi w:val="0"/>
        <w:spacing w:lineRule="auto" w:line="240" w:before="113" w:after="113"/>
        <w:jc w:val="both"/>
        <w:rPr>
          <w:rFonts w:ascii="Arial" w:hAnsi="Arial" w:cs="Calibri"/>
          <w:color w:val="000000"/>
          <w:sz w:val="20"/>
          <w:szCs w:val="20"/>
        </w:rPr>
      </w:pPr>
      <w:r>
        <w:rPr>
          <w:rFonts w:cs="Calibri" w:ascii="Calibri" w:hAnsi="Calibri"/>
          <w:color w:val="000000"/>
          <w:sz w:val="20"/>
          <w:szCs w:val="20"/>
        </w:rPr>
        <w:t>CNPJ/MF:</w:t>
      </w:r>
    </w:p>
    <w:p>
      <w:pPr>
        <w:pStyle w:val="Corpodotexto"/>
        <w:numPr>
          <w:ilvl w:val="0"/>
          <w:numId w:val="1"/>
        </w:numPr>
        <w:bidi w:val="0"/>
        <w:spacing w:lineRule="auto" w:line="240" w:before="113" w:after="113"/>
        <w:jc w:val="both"/>
        <w:rPr>
          <w:rFonts w:ascii="Arial" w:hAnsi="Arial" w:cs="Calibri"/>
          <w:color w:val="000000"/>
          <w:sz w:val="20"/>
          <w:szCs w:val="20"/>
        </w:rPr>
      </w:pPr>
      <w:r>
        <w:rPr>
          <w:rFonts w:cs="Calibri" w:ascii="Calibri" w:hAnsi="Calibri"/>
          <w:color w:val="000000"/>
          <w:sz w:val="20"/>
          <w:szCs w:val="20"/>
        </w:rPr>
        <w:t>Endereço:</w:t>
      </w:r>
    </w:p>
    <w:p>
      <w:pPr>
        <w:pStyle w:val="Corpodotexto"/>
        <w:numPr>
          <w:ilvl w:val="0"/>
          <w:numId w:val="1"/>
        </w:numPr>
        <w:bidi w:val="0"/>
        <w:spacing w:lineRule="auto" w:line="240" w:before="113" w:after="113"/>
        <w:jc w:val="both"/>
        <w:rPr>
          <w:rFonts w:ascii="Arial" w:hAnsi="Arial" w:cs="Calibri"/>
          <w:color w:val="000000"/>
          <w:sz w:val="20"/>
          <w:szCs w:val="20"/>
        </w:rPr>
      </w:pPr>
      <w:r>
        <w:rPr>
          <w:rFonts w:cs="Calibri" w:ascii="Calibri" w:hAnsi="Calibri"/>
          <w:color w:val="000000"/>
          <w:sz w:val="20"/>
          <w:szCs w:val="20"/>
        </w:rPr>
        <w:t>Cidade/UF:</w:t>
      </w:r>
    </w:p>
    <w:p>
      <w:pPr>
        <w:pStyle w:val="Corpodotexto"/>
        <w:numPr>
          <w:ilvl w:val="0"/>
          <w:numId w:val="1"/>
        </w:numPr>
        <w:bidi w:val="0"/>
        <w:spacing w:lineRule="auto" w:line="240" w:before="113" w:after="113"/>
        <w:jc w:val="both"/>
        <w:rPr>
          <w:rFonts w:ascii="Arial" w:hAnsi="Arial" w:cs="Calibri"/>
          <w:color w:val="000000"/>
          <w:sz w:val="20"/>
          <w:szCs w:val="20"/>
        </w:rPr>
      </w:pPr>
      <w:r>
        <w:rPr>
          <w:rFonts w:cs="Calibri" w:ascii="Calibri" w:hAnsi="Calibri"/>
          <w:color w:val="000000"/>
          <w:sz w:val="20"/>
          <w:szCs w:val="20"/>
        </w:rPr>
        <w:t xml:space="preserve">CEP: </w:t>
      </w:r>
    </w:p>
    <w:p>
      <w:pPr>
        <w:pStyle w:val="Corpodotexto"/>
        <w:numPr>
          <w:ilvl w:val="0"/>
          <w:numId w:val="1"/>
        </w:numPr>
        <w:bidi w:val="0"/>
        <w:spacing w:lineRule="auto" w:line="240" w:before="113" w:after="113"/>
        <w:jc w:val="both"/>
        <w:rPr>
          <w:rFonts w:ascii="Arial" w:hAnsi="Arial" w:cs="Calibri"/>
          <w:color w:val="000000"/>
          <w:sz w:val="20"/>
          <w:szCs w:val="20"/>
        </w:rPr>
      </w:pPr>
      <w:r>
        <w:rPr>
          <w:rFonts w:cs="Calibri" w:ascii="Calibri" w:hAnsi="Calibri"/>
          <w:color w:val="000000"/>
          <w:sz w:val="20"/>
          <w:szCs w:val="20"/>
        </w:rPr>
        <w:t>Tel./Fax:</w:t>
      </w:r>
    </w:p>
    <w:p>
      <w:pPr>
        <w:pStyle w:val="Corpodotexto"/>
        <w:numPr>
          <w:ilvl w:val="0"/>
          <w:numId w:val="1"/>
        </w:numPr>
        <w:bidi w:val="0"/>
        <w:spacing w:lineRule="auto" w:line="240" w:before="113" w:after="113"/>
        <w:jc w:val="both"/>
        <w:rPr>
          <w:rFonts w:ascii="Arial" w:hAnsi="Arial" w:cs="Calibri"/>
          <w:color w:val="000000"/>
          <w:sz w:val="20"/>
          <w:szCs w:val="20"/>
        </w:rPr>
      </w:pPr>
      <w:r>
        <w:rPr>
          <w:rFonts w:cs="Calibri" w:ascii="Calibri" w:hAnsi="Calibri"/>
          <w:color w:val="000000"/>
          <w:sz w:val="20"/>
          <w:szCs w:val="20"/>
        </w:rPr>
        <w:t>E-mail:</w:t>
      </w:r>
    </w:p>
    <w:p>
      <w:pPr>
        <w:pStyle w:val="Corpodotexto"/>
        <w:numPr>
          <w:ilvl w:val="0"/>
          <w:numId w:val="1"/>
        </w:numPr>
        <w:bidi w:val="0"/>
        <w:spacing w:lineRule="auto" w:line="240" w:before="113" w:after="113"/>
        <w:jc w:val="both"/>
        <w:rPr>
          <w:rFonts w:ascii="Arial" w:hAnsi="Arial" w:cs="Calibri"/>
          <w:color w:val="000000"/>
          <w:sz w:val="20"/>
          <w:szCs w:val="20"/>
        </w:rPr>
      </w:pPr>
      <w:r>
        <w:rPr>
          <w:rFonts w:cs="Calibri" w:ascii="Calibri" w:hAnsi="Calibri"/>
          <w:color w:val="000000"/>
          <w:sz w:val="20"/>
          <w:szCs w:val="20"/>
        </w:rPr>
        <w:t>Banco:</w:t>
      </w:r>
    </w:p>
    <w:p>
      <w:pPr>
        <w:pStyle w:val="Corpodotexto"/>
        <w:numPr>
          <w:ilvl w:val="0"/>
          <w:numId w:val="1"/>
        </w:numPr>
        <w:bidi w:val="0"/>
        <w:spacing w:lineRule="auto" w:line="240" w:before="113" w:after="113"/>
        <w:jc w:val="both"/>
        <w:rPr>
          <w:rFonts w:ascii="Arial" w:hAnsi="Arial" w:cs="Calibri"/>
          <w:color w:val="000000"/>
          <w:sz w:val="20"/>
          <w:szCs w:val="20"/>
        </w:rPr>
      </w:pPr>
      <w:r>
        <w:rPr>
          <w:rFonts w:cs="Calibri" w:ascii="Calibri" w:hAnsi="Calibri"/>
          <w:color w:val="000000"/>
          <w:sz w:val="20"/>
          <w:szCs w:val="20"/>
        </w:rPr>
        <w:t xml:space="preserve">Agência: </w:t>
      </w:r>
    </w:p>
    <w:p>
      <w:pPr>
        <w:pStyle w:val="Corpodotexto"/>
        <w:numPr>
          <w:ilvl w:val="0"/>
          <w:numId w:val="1"/>
        </w:numPr>
        <w:bidi w:val="0"/>
        <w:spacing w:lineRule="auto" w:line="240" w:before="113" w:after="113"/>
        <w:jc w:val="both"/>
        <w:rPr/>
      </w:pPr>
      <w:r>
        <w:rPr>
          <w:rFonts w:cs="Calibri" w:ascii="Calibri" w:hAnsi="Calibri"/>
          <w:color w:val="000000"/>
          <w:sz w:val="20"/>
          <w:szCs w:val="20"/>
        </w:rPr>
        <w:t>Conta:</w:t>
      </w:r>
    </w:p>
    <w:sectPr>
      <w:type w:val="nextPage"/>
      <w:pgSz w:w="11906" w:h="16838"/>
      <w:pgMar w:left="1134" w:right="1134" w:header="0" w:top="1134" w:footer="0" w:bottom="1134"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bri">
    <w:charset w:val="00"/>
    <w:family w:val="roman"/>
    <w:pitch w:val="variable"/>
  </w:font>
  <w:font w:name="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360"/>
        </w:tabs>
        <w:ind w:left="360" w:hanging="360"/>
      </w:pPr>
      <w:rPr>
        <w:rFonts w:ascii="Symbol" w:hAnsi="Symbol" w:cs="Symbol" w:hint="default"/>
        <w:sz w:val="20"/>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709"/>
  <w:autoHyphenation w:val="fals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0"/>
        <w:szCs w:val="24"/>
        <w:lang w:val="pt-BR" w:eastAsia="zh-CN" w:bidi="hi-IN"/>
      </w:rPr>
    </w:rPrDefault>
    <w:pPrDefault>
      <w:pPr/>
    </w:pPrDefault>
  </w:docDefaults>
  <w:style w:type="paragraph" w:styleId="Normal">
    <w:name w:val="Normal"/>
    <w:qFormat/>
    <w:pPr>
      <w:widowControl/>
      <w:suppressAutoHyphens w:val="true"/>
      <w:overflowPunct w:val="true"/>
      <w:bidi w:val="0"/>
      <w:spacing w:before="0" w:after="0"/>
      <w:jc w:val="left"/>
    </w:pPr>
    <w:rPr>
      <w:rFonts w:ascii="Liberation Serif" w:hAnsi="Liberation Serif" w:eastAsia="NSimSun" w:cs="Lucida Sans"/>
      <w:color w:val="auto"/>
      <w:kern w:val="2"/>
      <w:sz w:val="24"/>
      <w:szCs w:val="24"/>
      <w:lang w:val="pt-BR" w:eastAsia="zh-CN" w:bidi="hi-IN"/>
    </w:rPr>
  </w:style>
  <w:style w:type="character" w:styleId="LinkdaInternet">
    <w:name w:val="Link da Internet"/>
    <w:rPr>
      <w:color w:val="000080"/>
      <w:u w:val="single"/>
    </w:rPr>
  </w:style>
  <w:style w:type="character" w:styleId="Linkdainternetvisitado">
    <w:name w:val="Link da internet visitado"/>
    <w:rPr>
      <w:color w:val="800000"/>
      <w:u w:val="single"/>
      <w:lang w:val="zxx" w:eastAsia="zxx" w:bidi="zxx"/>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P">
    <w:name w:val="P"/>
    <w:basedOn w:val="Normal"/>
    <w:qFormat/>
    <w:pPr>
      <w:suppressAutoHyphens w:val="true"/>
      <w:jc w:val="both"/>
    </w:pPr>
    <w:rPr>
      <w:b/>
      <w:sz w:val="24"/>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Cabealho">
    <w:name w:val="Header"/>
    <w:basedOn w:val="Normal"/>
    <w:pPr>
      <w:tabs>
        <w:tab w:val="clear" w:pos="709"/>
        <w:tab w:val="center" w:pos="4252" w:leader="none"/>
        <w:tab w:val="right" w:pos="8504" w:leader="none"/>
      </w:tabs>
    </w:pPr>
    <w:rPr/>
  </w:style>
  <w:style w:type="paragraph" w:styleId="Contedodatabela">
    <w:name w:val="Conteúdo da tabela"/>
    <w:basedOn w:val="Normal"/>
    <w:qFormat/>
    <w:pPr>
      <w:widowControl w:val="false"/>
      <w:suppressLineNumbers/>
    </w:pPr>
    <w:rPr/>
  </w:style>
  <w:style w:type="paragraph" w:styleId="Rodap">
    <w:name w:val="Footer"/>
    <w:basedOn w:val="CabealhoeRodap"/>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sipac.ifes.edu.br/public/jsp/processos/processo_detalhado.jsf?id=103504" TargetMode="External"/><Relationship Id="rId3" Type="http://schemas.openxmlformats.org/officeDocument/2006/relationships/hyperlink" Target="mailto:clc.vni@ifes.edu.br"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187</TotalTime>
  <Application>LibreOffice/6.3.6.2$Windows_X86_64 LibreOffice_project/2196df99b074d8a661f4036fca8fa0cbfa33a497</Application>
  <Pages>5</Pages>
  <Words>1110</Words>
  <Characters>5919</Characters>
  <CharactersWithSpaces>6927</CharactersWithSpaces>
  <Paragraphs>103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2021-11-24T14:08:15Z</dcterms:created>
  <dc:creator/>
  <dc:description/>
  <dc:language>pt-BR</dc:language>
  <cp:lastModifiedBy/>
  <dcterms:modified xsi:type="dcterms:W3CDTF">2022-07-04T14:22:09Z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